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8F6FA" w14:textId="77777777" w:rsidR="00DA2C1C" w:rsidRDefault="00DA2C1C" w:rsidP="00DA2C1C">
      <w:pPr>
        <w:jc w:val="both"/>
        <w:rPr>
          <w:i/>
          <w:iCs/>
          <w:sz w:val="28"/>
          <w:szCs w:val="28"/>
        </w:rPr>
      </w:pPr>
    </w:p>
    <w:p w14:paraId="3FC88AF4" w14:textId="77777777" w:rsidR="004D1F1C" w:rsidRPr="00B33BD8" w:rsidRDefault="004D1F1C" w:rsidP="004D1F1C">
      <w:pPr>
        <w:pStyle w:val="Titolo1"/>
        <w:rPr>
          <w:rFonts w:ascii="Times New Roman" w:hAnsi="Times New Roman" w:cs="Times New Roman"/>
          <w:b/>
          <w:color w:val="auto"/>
          <w:sz w:val="36"/>
          <w:szCs w:val="24"/>
        </w:rPr>
      </w:pPr>
      <w:bookmarkStart w:id="0" w:name="_Toc428612106"/>
      <w:r w:rsidRPr="00B33BD8">
        <w:rPr>
          <w:rFonts w:ascii="Times New Roman" w:hAnsi="Times New Roman" w:cs="Times New Roman"/>
          <w:b/>
          <w:color w:val="auto"/>
          <w:sz w:val="36"/>
          <w:szCs w:val="24"/>
        </w:rPr>
        <w:t>At 11,27–30; 12,24–25; 13,1–3. L’inizio della missione paolina</w:t>
      </w:r>
      <w:bookmarkEnd w:id="0"/>
    </w:p>
    <w:p w14:paraId="6C7E187D" w14:textId="1BD15326" w:rsidR="004D1F1C" w:rsidRPr="004D1F1C" w:rsidRDefault="004D1F1C" w:rsidP="004D1F1C">
      <w:pPr>
        <w:pStyle w:val="Paragrafoelenco"/>
        <w:numPr>
          <w:ilvl w:val="0"/>
          <w:numId w:val="1"/>
        </w:numPr>
        <w:jc w:val="both"/>
        <w:outlineLvl w:val="1"/>
        <w:rPr>
          <w:rFonts w:ascii="Times New Roman" w:hAnsi="Times New Roman" w:cs="Times New Roman"/>
          <w:b/>
          <w:sz w:val="28"/>
          <w:szCs w:val="24"/>
        </w:rPr>
      </w:pPr>
      <w:bookmarkStart w:id="1" w:name="_Toc428612107"/>
      <w:proofErr w:type="spellStart"/>
      <w:r w:rsidRPr="00B33BD8">
        <w:rPr>
          <w:rFonts w:ascii="Times New Roman" w:hAnsi="Times New Roman" w:cs="Times New Roman"/>
          <w:b/>
          <w:sz w:val="28"/>
          <w:szCs w:val="24"/>
        </w:rPr>
        <w:t>Koinonìa</w:t>
      </w:r>
      <w:proofErr w:type="spellEnd"/>
      <w:r w:rsidRPr="00B33BD8">
        <w:rPr>
          <w:rFonts w:ascii="Times New Roman" w:hAnsi="Times New Roman" w:cs="Times New Roman"/>
          <w:b/>
          <w:sz w:val="28"/>
          <w:szCs w:val="24"/>
        </w:rPr>
        <w:t xml:space="preserve"> e missione universale</w:t>
      </w:r>
      <w:bookmarkEnd w:id="1"/>
      <w:r w:rsidRPr="004D1F1C">
        <w:rPr>
          <w:rFonts w:ascii="Bookman Old Style" w:hAnsi="Bookman Old Style"/>
        </w:rPr>
        <w:t xml:space="preserve"> </w:t>
      </w:r>
    </w:p>
    <w:p w14:paraId="5865B3F5" w14:textId="046D073A" w:rsidR="004D1F1C" w:rsidRPr="004D1F1C" w:rsidRDefault="004D1F1C" w:rsidP="004D1F1C">
      <w:pPr>
        <w:pStyle w:val="Paragrafoelenco"/>
        <w:ind w:left="1080"/>
        <w:jc w:val="both"/>
        <w:rPr>
          <w:rFonts w:ascii="Bookman Old Style" w:hAnsi="Bookman Old Style"/>
          <w:b/>
        </w:rPr>
      </w:pPr>
      <w:r>
        <w:rPr>
          <w:rFonts w:ascii="Bookman Old Style" w:hAnsi="Bookman Old Style"/>
          <w:bCs/>
        </w:rPr>
        <w:t>La diaconia materiale di Paolo e Barnaba per Gerusalemme è il riflesso del dono spirituale ricevuto. Alla luce di questa dinamica spirituale si può immaginare che ogni atto di servizio “materiale” nella Chiesa sia il riflesso di un dono spirituale che viene scambiato. Anche il servizio ai poveri può essere visto come un ricevere da loro il dono di Cristo povero. Questa riflessione può forse aiutarci ad approfondire il senso del servizio sociale nella Chiesa (</w:t>
      </w:r>
      <w:proofErr w:type="spellStart"/>
      <w:r>
        <w:rPr>
          <w:rFonts w:ascii="Bookman Old Style" w:hAnsi="Bookman Old Style"/>
          <w:bCs/>
        </w:rPr>
        <w:t>cf</w:t>
      </w:r>
      <w:proofErr w:type="spellEnd"/>
      <w:r>
        <w:rPr>
          <w:rFonts w:ascii="Bookman Old Style" w:hAnsi="Bookman Old Style"/>
          <w:bCs/>
        </w:rPr>
        <w:t xml:space="preserve">. </w:t>
      </w:r>
      <w:proofErr w:type="spellStart"/>
      <w:r>
        <w:rPr>
          <w:rFonts w:ascii="Bookman Old Style" w:hAnsi="Bookman Old Style"/>
          <w:bCs/>
        </w:rPr>
        <w:t>Rm</w:t>
      </w:r>
      <w:proofErr w:type="spellEnd"/>
      <w:r>
        <w:rPr>
          <w:rFonts w:ascii="Bookman Old Style" w:hAnsi="Bookman Old Style"/>
          <w:bCs/>
        </w:rPr>
        <w:t xml:space="preserve"> 15,25-27). </w:t>
      </w:r>
    </w:p>
    <w:p w14:paraId="155A5B52" w14:textId="6D5A0044" w:rsidR="004D1F1C" w:rsidRPr="004D1F1C" w:rsidRDefault="004D1F1C" w:rsidP="004D1F1C">
      <w:pPr>
        <w:pStyle w:val="Paragrafoelenco"/>
        <w:numPr>
          <w:ilvl w:val="0"/>
          <w:numId w:val="1"/>
        </w:numPr>
        <w:jc w:val="both"/>
        <w:outlineLvl w:val="1"/>
        <w:rPr>
          <w:rFonts w:ascii="Times New Roman" w:hAnsi="Times New Roman" w:cs="Times New Roman"/>
          <w:b/>
          <w:sz w:val="28"/>
          <w:szCs w:val="24"/>
        </w:rPr>
      </w:pPr>
      <w:bookmarkStart w:id="2" w:name="_Toc428612108"/>
      <w:r w:rsidRPr="00B33BD8">
        <w:rPr>
          <w:rFonts w:ascii="Times New Roman" w:hAnsi="Times New Roman" w:cs="Times New Roman"/>
          <w:b/>
          <w:sz w:val="28"/>
          <w:szCs w:val="24"/>
        </w:rPr>
        <w:t>Presbiterio</w:t>
      </w:r>
      <w:r>
        <w:rPr>
          <w:rFonts w:ascii="Times New Roman" w:hAnsi="Times New Roman" w:cs="Times New Roman"/>
          <w:b/>
          <w:sz w:val="28"/>
          <w:szCs w:val="24"/>
        </w:rPr>
        <w:t xml:space="preserve"> e diaconia</w:t>
      </w:r>
      <w:r w:rsidRPr="00B33BD8">
        <w:rPr>
          <w:rFonts w:ascii="Times New Roman" w:hAnsi="Times New Roman" w:cs="Times New Roman"/>
          <w:b/>
          <w:sz w:val="28"/>
          <w:szCs w:val="24"/>
        </w:rPr>
        <w:t>, luogo di profeti e dottori</w:t>
      </w:r>
      <w:bookmarkEnd w:id="2"/>
      <w:r w:rsidRPr="004D1F1C">
        <w:rPr>
          <w:rFonts w:ascii="Bookman Old Style" w:hAnsi="Bookman Old Style"/>
        </w:rPr>
        <w:t xml:space="preserve"> </w:t>
      </w:r>
    </w:p>
    <w:p w14:paraId="07047C70" w14:textId="4198453E" w:rsidR="004D1F1C" w:rsidRPr="004D1F1C" w:rsidRDefault="004D1F1C" w:rsidP="004D1F1C">
      <w:pPr>
        <w:pStyle w:val="Paragrafoelenco"/>
        <w:ind w:left="1080"/>
        <w:jc w:val="both"/>
        <w:rPr>
          <w:rFonts w:ascii="Bookman Old Style" w:hAnsi="Bookman Old Style"/>
          <w:b/>
        </w:rPr>
      </w:pPr>
      <w:r>
        <w:rPr>
          <w:rFonts w:ascii="Bookman Old Style" w:hAnsi="Bookman Old Style"/>
          <w:bCs/>
        </w:rPr>
        <w:t>La comunione di profeti e dottori offre un punto di vista privilegiato sul discernimento comunitario dello Spirito. Esso richiede una “conversione”: digiuno e culto eucaristico sono due simboli che indicano la “scoperta” dell’amore di Dio per me in Cristo, con segni di cambiamento interiore ed esteriore per rendere tale amore più operativo nella mia vita. Essi indicano</w:t>
      </w:r>
      <w:r w:rsidR="00ED53D5">
        <w:rPr>
          <w:rFonts w:ascii="Bookman Old Style" w:hAnsi="Bookman Old Style"/>
          <w:bCs/>
        </w:rPr>
        <w:t xml:space="preserve"> anche</w:t>
      </w:r>
      <w:r>
        <w:rPr>
          <w:rFonts w:ascii="Bookman Old Style" w:hAnsi="Bookman Old Style"/>
          <w:bCs/>
        </w:rPr>
        <w:t xml:space="preserve"> la disponibilità a servire il Regno di Dio e rendono possibile il linguaggio dello Spirito nella comunità. (1Cor 12,4-11) </w:t>
      </w:r>
    </w:p>
    <w:p w14:paraId="3C14BD34" w14:textId="400D8F8D" w:rsidR="004D1F1C" w:rsidRPr="004D1F1C" w:rsidRDefault="004D1F1C" w:rsidP="004D1F1C">
      <w:pPr>
        <w:pStyle w:val="Paragrafoelenco"/>
        <w:numPr>
          <w:ilvl w:val="0"/>
          <w:numId w:val="1"/>
        </w:numPr>
        <w:jc w:val="both"/>
        <w:outlineLvl w:val="1"/>
        <w:rPr>
          <w:rFonts w:ascii="Times New Roman" w:hAnsi="Times New Roman" w:cs="Times New Roman"/>
          <w:b/>
          <w:sz w:val="28"/>
          <w:szCs w:val="24"/>
        </w:rPr>
      </w:pPr>
      <w:bookmarkStart w:id="3" w:name="_Toc428612109"/>
      <w:r w:rsidRPr="00B33BD8">
        <w:rPr>
          <w:rFonts w:ascii="Times New Roman" w:hAnsi="Times New Roman" w:cs="Times New Roman"/>
          <w:b/>
          <w:sz w:val="28"/>
          <w:szCs w:val="24"/>
        </w:rPr>
        <w:t>Discernimento pastorale e missionario</w:t>
      </w:r>
      <w:bookmarkEnd w:id="3"/>
    </w:p>
    <w:p w14:paraId="02AB4CD6" w14:textId="77777777" w:rsidR="004D1F1C" w:rsidRPr="0023175E" w:rsidRDefault="004D1F1C" w:rsidP="004D1F1C">
      <w:pPr>
        <w:pStyle w:val="Paragrafoelenco"/>
        <w:ind w:left="1080"/>
        <w:jc w:val="both"/>
        <w:rPr>
          <w:rFonts w:ascii="Bookman Old Style" w:hAnsi="Bookman Old Style"/>
          <w:b/>
        </w:rPr>
      </w:pPr>
      <w:r>
        <w:rPr>
          <w:rFonts w:ascii="Bookman Old Style" w:hAnsi="Bookman Old Style"/>
          <w:bCs/>
        </w:rPr>
        <w:t>L’invio missionario di Paolo e Barnaba priva Antiochia di due personalità importanti. Essi non si sono resi “necessari” fino al punto da non poter lasciare la comunità e per converso la comunità si ritiene libera di inviarli, aprendosi ad una missione che la supera. In che misura le nostre comunità sono aperte al “dono” o coltivano relazioni di reciproco possesso? (2Cor 2,14-3,3)</w:t>
      </w:r>
    </w:p>
    <w:p w14:paraId="00AF5229" w14:textId="77777777" w:rsidR="004D1F1C" w:rsidRPr="00B33BD8" w:rsidRDefault="004D1F1C" w:rsidP="004D1F1C">
      <w:pPr>
        <w:rPr>
          <w:iCs/>
        </w:rPr>
      </w:pPr>
    </w:p>
    <w:p w14:paraId="60EFAD03" w14:textId="77777777" w:rsidR="004D1F1C" w:rsidRPr="00B33BD8" w:rsidRDefault="004D1F1C" w:rsidP="004D1F1C">
      <w:pPr>
        <w:rPr>
          <w:iCs/>
        </w:rPr>
      </w:pPr>
    </w:p>
    <w:p w14:paraId="65CD2CD0" w14:textId="77777777" w:rsidR="004D1F1C" w:rsidRPr="00B33BD8" w:rsidRDefault="004D1F1C" w:rsidP="004D1F1C">
      <w:pPr>
        <w:rPr>
          <w:iCs/>
        </w:rPr>
      </w:pPr>
    </w:p>
    <w:p w14:paraId="0B3D27C5" w14:textId="77777777" w:rsidR="004D1F1C" w:rsidRPr="00B33BD8" w:rsidRDefault="004D1F1C" w:rsidP="004D1F1C">
      <w:pPr>
        <w:rPr>
          <w:iCs/>
        </w:rPr>
      </w:pPr>
    </w:p>
    <w:p w14:paraId="442B5BE0" w14:textId="77777777" w:rsidR="004D1F1C" w:rsidRDefault="004D1F1C" w:rsidP="004D1F1C">
      <w:pPr>
        <w:rPr>
          <w:iCs/>
        </w:rPr>
      </w:pPr>
    </w:p>
    <w:p w14:paraId="4E7079C4" w14:textId="77777777" w:rsidR="004D1F1C" w:rsidRDefault="004D1F1C" w:rsidP="004D1F1C">
      <w:pPr>
        <w:rPr>
          <w:iCs/>
        </w:rPr>
      </w:pPr>
    </w:p>
    <w:p w14:paraId="4BFC226E" w14:textId="4A8363E3" w:rsidR="004D1F1C" w:rsidRDefault="004D1F1C">
      <w:pPr>
        <w:rPr>
          <w:iCs/>
        </w:rPr>
      </w:pPr>
      <w:r>
        <w:rPr>
          <w:iCs/>
        </w:rPr>
        <w:br w:type="page"/>
      </w:r>
    </w:p>
    <w:p w14:paraId="2D9BE783" w14:textId="77777777" w:rsidR="00ED53D5" w:rsidRDefault="00ED53D5">
      <w:pPr>
        <w:rPr>
          <w:iCs/>
        </w:rPr>
      </w:pPr>
    </w:p>
    <w:p w14:paraId="7E663E8D" w14:textId="77777777" w:rsidR="004D1F1C" w:rsidRDefault="004D1F1C" w:rsidP="004D1F1C">
      <w:pPr>
        <w:rPr>
          <w:iCs/>
        </w:rPr>
      </w:pPr>
    </w:p>
    <w:p w14:paraId="22C1A1B7" w14:textId="77777777" w:rsidR="004D1F1C" w:rsidRPr="00BE09AB" w:rsidRDefault="004D1F1C" w:rsidP="004D1F1C">
      <w:pPr>
        <w:rPr>
          <w:iCs/>
        </w:rPr>
      </w:pPr>
    </w:p>
    <w:p w14:paraId="4E810F5F" w14:textId="77777777" w:rsidR="00DA2C1C" w:rsidRDefault="00DA2C1C" w:rsidP="00DA2C1C">
      <w:pPr>
        <w:jc w:val="both"/>
        <w:rPr>
          <w:i/>
          <w:iCs/>
          <w:sz w:val="28"/>
          <w:szCs w:val="28"/>
        </w:rPr>
      </w:pPr>
    </w:p>
    <w:p w14:paraId="6FB3BA89" w14:textId="3B1A62DE" w:rsidR="00DA2C1C" w:rsidRPr="000D0B03" w:rsidRDefault="00DA2C1C" w:rsidP="00DA2C1C">
      <w:pPr>
        <w:jc w:val="both"/>
        <w:rPr>
          <w:i/>
          <w:iCs/>
          <w:sz w:val="28"/>
          <w:szCs w:val="28"/>
        </w:rPr>
      </w:pPr>
      <w:r w:rsidRPr="000D0B03">
        <w:rPr>
          <w:i/>
          <w:iCs/>
          <w:sz w:val="28"/>
          <w:szCs w:val="28"/>
        </w:rPr>
        <w:t>Invoco lo Spirito Santo. Fa o Signore che ogni mia intenzione, azione e attività abbia da te il suo inizio e in te e per te il suo compimento, per la potenza dello Spirito Santo.</w:t>
      </w:r>
      <w:r w:rsidR="00731D4A">
        <w:rPr>
          <w:i/>
          <w:iCs/>
          <w:sz w:val="28"/>
          <w:szCs w:val="28"/>
        </w:rPr>
        <w:t xml:space="preserve"> Aiutami a vedere il significato mistico contenuto in ogni servizio materiale offerto alla persona, rendimi disponibile a cercare e trovare il Regno di Dio, mettendomi in stato di missione nella Chiesa. Se ho gustato il Tuo Amore per me, aiutami a fare spazio a te, per seguirti dove tu sei nel mondo e nel cuore di ogni uomo. </w:t>
      </w:r>
    </w:p>
    <w:p w14:paraId="5D0817CC" w14:textId="77777777" w:rsidR="00DA2C1C" w:rsidRDefault="00DA2C1C" w:rsidP="00DA2C1C"/>
    <w:p w14:paraId="1A85DB08" w14:textId="77777777" w:rsidR="00DA2C1C" w:rsidRPr="008E0C05" w:rsidRDefault="00DA2C1C" w:rsidP="00DA2C1C">
      <w:pPr>
        <w:spacing w:line="276" w:lineRule="auto"/>
        <w:rPr>
          <w:rFonts w:ascii="Times" w:eastAsia="Times New Roman" w:hAnsi="Times" w:cs="Times New Roman"/>
          <w:lang w:eastAsia="it-IT"/>
        </w:rPr>
      </w:pPr>
      <w:r w:rsidRPr="008E0C05">
        <w:rPr>
          <w:rFonts w:ascii="Times" w:eastAsia="Times New Roman" w:hAnsi="Times" w:cs="Poppins"/>
          <w:color w:val="1D1E1E"/>
          <w:sz w:val="32"/>
          <w:szCs w:val="32"/>
          <w:shd w:val="clear" w:color="auto" w:fill="FFFFFF"/>
          <w:lang w:eastAsia="it-IT"/>
        </w:rPr>
        <w:t>(MEMORIA) Rileggo più volte il brano d</w:t>
      </w:r>
      <w:r w:rsidRPr="000D0B03">
        <w:rPr>
          <w:rFonts w:ascii="Times" w:eastAsia="Times New Roman" w:hAnsi="Times" w:cs="Poppins"/>
          <w:color w:val="1D1E1E"/>
          <w:sz w:val="32"/>
          <w:szCs w:val="32"/>
          <w:shd w:val="clear" w:color="auto" w:fill="FFFFFF"/>
          <w:lang w:eastAsia="it-IT"/>
        </w:rPr>
        <w:t>egli Atti</w:t>
      </w:r>
      <w:r w:rsidRPr="008E0C05">
        <w:rPr>
          <w:rFonts w:ascii="Times" w:eastAsia="Times New Roman" w:hAnsi="Times" w:cs="Poppins"/>
          <w:color w:val="1D1E1E"/>
          <w:sz w:val="32"/>
          <w:szCs w:val="32"/>
          <w:shd w:val="clear" w:color="auto" w:fill="FFFFFF"/>
          <w:lang w:eastAsia="it-IT"/>
        </w:rPr>
        <w:t>, cercando di sostare su quelle frasi, espressioni, parole che toccano le corde più profonde della mia interiorità. Esse nel loro complesso costituiscono una Parola che Dio oggi mi rivolge personalmente.</w:t>
      </w:r>
      <w:r w:rsidRPr="008E0C05">
        <w:rPr>
          <w:rFonts w:ascii="Times" w:eastAsia="Times New Roman" w:hAnsi="Times" w:cs="Poppins"/>
          <w:color w:val="1D1E1E"/>
          <w:sz w:val="32"/>
          <w:szCs w:val="32"/>
          <w:lang w:eastAsia="it-IT"/>
        </w:rPr>
        <w:br/>
      </w:r>
      <w:r w:rsidRPr="008E0C05">
        <w:rPr>
          <w:rFonts w:ascii="Times" w:eastAsia="Times New Roman" w:hAnsi="Times" w:cs="Poppins"/>
          <w:color w:val="1D1E1E"/>
          <w:sz w:val="32"/>
          <w:szCs w:val="32"/>
          <w:shd w:val="clear" w:color="auto" w:fill="FFFFFF"/>
          <w:lang w:eastAsia="it-IT"/>
        </w:rPr>
        <w:t>(INTELLIGENZA) Cerco di comprendere il significato di questa Parola nella mia vita, utilizzando paragoni con il mio vissuto quotidiano e cercando di gettare qualche luce sul mio presente e prossimo futuro</w:t>
      </w:r>
      <w:r w:rsidRPr="000D0B03">
        <w:rPr>
          <w:rFonts w:ascii="Times" w:eastAsia="Times New Roman" w:hAnsi="Times" w:cs="Poppins"/>
          <w:color w:val="1D1E1E"/>
          <w:sz w:val="32"/>
          <w:szCs w:val="32"/>
          <w:shd w:val="clear" w:color="auto" w:fill="FFFFFF"/>
          <w:lang w:eastAsia="it-IT"/>
        </w:rPr>
        <w:t xml:space="preserve">, anche con l’aiuto dei punti presenti nella scheda. </w:t>
      </w:r>
      <w:r w:rsidRPr="008E0C05">
        <w:rPr>
          <w:rFonts w:ascii="Times" w:eastAsia="Times New Roman" w:hAnsi="Times" w:cs="Poppins"/>
          <w:color w:val="1D1E1E"/>
          <w:sz w:val="32"/>
          <w:szCs w:val="32"/>
          <w:lang w:eastAsia="it-IT"/>
        </w:rPr>
        <w:br/>
      </w:r>
      <w:r w:rsidRPr="008E0C05">
        <w:rPr>
          <w:rFonts w:ascii="Times" w:eastAsia="Times New Roman" w:hAnsi="Times" w:cs="Poppins"/>
          <w:color w:val="1D1E1E"/>
          <w:sz w:val="32"/>
          <w:szCs w:val="32"/>
          <w:shd w:val="clear" w:color="auto" w:fill="FFFFFF"/>
          <w:lang w:eastAsia="it-IT"/>
        </w:rPr>
        <w:t xml:space="preserve">(VOLONTÀ) Oriento tutto il mio cuore a ciò verso cui mi porta la Parola </w:t>
      </w:r>
      <w:proofErr w:type="gramStart"/>
      <w:r w:rsidRPr="008E0C05">
        <w:rPr>
          <w:rFonts w:ascii="Times" w:eastAsia="Times New Roman" w:hAnsi="Times" w:cs="Poppins"/>
          <w:color w:val="1D1E1E"/>
          <w:sz w:val="32"/>
          <w:szCs w:val="32"/>
          <w:shd w:val="clear" w:color="auto" w:fill="FFFFFF"/>
          <w:lang w:eastAsia="it-IT"/>
        </w:rPr>
        <w:t>e</w:t>
      </w:r>
      <w:proofErr w:type="gramEnd"/>
      <w:r w:rsidRPr="008E0C05">
        <w:rPr>
          <w:rFonts w:ascii="Times" w:eastAsia="Times New Roman" w:hAnsi="Times" w:cs="Poppins"/>
          <w:color w:val="1D1E1E"/>
          <w:sz w:val="32"/>
          <w:szCs w:val="32"/>
          <w:shd w:val="clear" w:color="auto" w:fill="FFFFFF"/>
          <w:lang w:eastAsia="it-IT"/>
        </w:rPr>
        <w:t xml:space="preserve"> entro in una preghiera di supplica, ringraziamento, lode, a seconda di ciò che sento.</w:t>
      </w:r>
    </w:p>
    <w:p w14:paraId="1C30874B" w14:textId="77777777" w:rsidR="00DA2C1C" w:rsidRDefault="00DA2C1C" w:rsidP="00DA2C1C"/>
    <w:p w14:paraId="0CC3035E" w14:textId="77777777" w:rsidR="00DA2C1C" w:rsidRDefault="00DA2C1C" w:rsidP="00DA2C1C"/>
    <w:p w14:paraId="689E47D5" w14:textId="77777777" w:rsidR="0075501E" w:rsidRDefault="00731D4A"/>
    <w:sectPr w:rsidR="0075501E" w:rsidSect="00F64D1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Poppins">
    <w:panose1 w:val="00000500000000000000"/>
    <w:charset w:val="4D"/>
    <w:family w:val="auto"/>
    <w:pitch w:val="variable"/>
    <w:sig w:usb0="00008007"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6883"/>
    <w:multiLevelType w:val="multilevel"/>
    <w:tmpl w:val="70829F0A"/>
    <w:lvl w:ilvl="0">
      <w:start w:val="1"/>
      <w:numFmt w:val="decimal"/>
      <w:lvlText w:val="%1."/>
      <w:lvlJc w:val="left"/>
      <w:pPr>
        <w:tabs>
          <w:tab w:val="num" w:pos="720"/>
        </w:tabs>
        <w:ind w:left="720" w:hanging="360"/>
      </w:pPr>
      <w:rPr>
        <w:rFonts w:ascii="Times New Roman" w:eastAsiaTheme="minorHAnsi" w:hAnsi="Times New Roman" w:cs="Times New Roman" w:hint="default"/>
        <w:b/>
        <w:i w:val="0"/>
        <w:sz w:val="28"/>
      </w:rPr>
    </w:lvl>
    <w:lvl w:ilvl="1">
      <w:start w:val="1"/>
      <w:numFmt w:val="decimal"/>
      <w:lvlText w:val="%2."/>
      <w:lvlJc w:val="left"/>
      <w:pPr>
        <w:tabs>
          <w:tab w:val="num" w:pos="1080"/>
        </w:tabs>
        <w:ind w:left="1080" w:hanging="360"/>
      </w:pPr>
      <w:rPr>
        <w:b w:val="0"/>
        <w:bCs/>
      </w:rPr>
    </w:lvl>
    <w:lvl w:ilvl="2">
      <w:start w:val="2"/>
      <w:numFmt w:val="decimal"/>
      <w:lvlText w:val="%3."/>
      <w:lvlJc w:val="left"/>
      <w:pPr>
        <w:tabs>
          <w:tab w:val="num" w:pos="1440"/>
        </w:tabs>
        <w:ind w:left="1440" w:hanging="360"/>
      </w:pPr>
      <w:rPr>
        <w:rFonts w:ascii="Times New Roman" w:hAnsi="Times New Roman" w:cs="Times New Roman" w:hint="default"/>
        <w:i w:val="0"/>
        <w:sz w:val="28"/>
      </w:rPr>
    </w:lvl>
    <w:lvl w:ilvl="3">
      <w:start w:val="1"/>
      <w:numFmt w:val="decimal"/>
      <w:lvlText w:val="%4."/>
      <w:lvlJc w:val="left"/>
      <w:pPr>
        <w:tabs>
          <w:tab w:val="num" w:pos="1800"/>
        </w:tabs>
        <w:ind w:left="1800" w:hanging="360"/>
      </w:pPr>
      <w:rPr>
        <w:rFonts w:ascii="Times New Roman" w:hAnsi="Times New Roman" w:cs="Times New Roman" w:hint="default"/>
        <w:b/>
        <w:i w:val="0"/>
        <w:sz w:val="28"/>
      </w:rPr>
    </w:lvl>
    <w:lvl w:ilvl="4">
      <w:start w:val="1"/>
      <w:numFmt w:val="decimal"/>
      <w:lvlText w:val="%5."/>
      <w:lvlJc w:val="left"/>
      <w:pPr>
        <w:tabs>
          <w:tab w:val="num" w:pos="2160"/>
        </w:tabs>
        <w:ind w:left="2160" w:hanging="360"/>
      </w:pPr>
      <w:rPr>
        <w:rFonts w:ascii="Bookman Old Style" w:eastAsiaTheme="minorHAnsi" w:hAnsi="Bookman Old Style" w:cstheme="minorBidi"/>
        <w:b/>
        <w:sz w:val="28"/>
      </w:rPr>
    </w:lvl>
    <w:lvl w:ilvl="5">
      <w:start w:val="1"/>
      <w:numFmt w:val="decimal"/>
      <w:lvlText w:val="%6."/>
      <w:lvlJc w:val="left"/>
      <w:pPr>
        <w:tabs>
          <w:tab w:val="num" w:pos="2520"/>
        </w:tabs>
        <w:ind w:left="2520" w:hanging="360"/>
      </w:pPr>
      <w:rPr>
        <w:b/>
      </w:rPr>
    </w:lvl>
    <w:lvl w:ilvl="6">
      <w:start w:val="1"/>
      <w:numFmt w:val="decimal"/>
      <w:lvlText w:val="%7."/>
      <w:lvlJc w:val="left"/>
      <w:pPr>
        <w:tabs>
          <w:tab w:val="num" w:pos="2880"/>
        </w:tabs>
        <w:ind w:left="2880" w:hanging="360"/>
      </w:pPr>
      <w:rPr>
        <w:rFonts w:ascii="Times New Roman" w:hAnsi="Times New Roman" w:cs="Times New Roman" w:hint="default"/>
        <w:sz w:val="28"/>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C1C"/>
    <w:rsid w:val="004D1F1C"/>
    <w:rsid w:val="0073066B"/>
    <w:rsid w:val="00731D4A"/>
    <w:rsid w:val="00DA2C1C"/>
    <w:rsid w:val="00ED53D5"/>
    <w:rsid w:val="00F64D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BB9D2CE"/>
  <w15:chartTrackingRefBased/>
  <w15:docId w15:val="{5E1B1602-9578-754A-B003-B13D80729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A2C1C"/>
  </w:style>
  <w:style w:type="paragraph" w:styleId="Titolo1">
    <w:name w:val="heading 1"/>
    <w:basedOn w:val="Normale"/>
    <w:next w:val="Normale"/>
    <w:link w:val="Titolo1Carattere"/>
    <w:uiPriority w:val="9"/>
    <w:qFormat/>
    <w:rsid w:val="004D1F1C"/>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D1F1C"/>
    <w:rPr>
      <w:rFonts w:asciiTheme="majorHAnsi" w:eastAsiaTheme="majorEastAsia" w:hAnsiTheme="majorHAnsi" w:cstheme="majorBidi"/>
      <w:color w:val="2F5496" w:themeColor="accent1" w:themeShade="BF"/>
      <w:sz w:val="32"/>
      <w:szCs w:val="32"/>
    </w:rPr>
  </w:style>
  <w:style w:type="paragraph" w:styleId="Paragrafoelenco">
    <w:name w:val="List Paragraph"/>
    <w:basedOn w:val="Normale"/>
    <w:uiPriority w:val="34"/>
    <w:qFormat/>
    <w:rsid w:val="004D1F1C"/>
    <w:pPr>
      <w:spacing w:after="160" w:line="259" w:lineRule="auto"/>
      <w:ind w:left="720"/>
      <w:contextualSpacing/>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409</Words>
  <Characters>2334</Characters>
  <Application>Microsoft Office Word</Application>
  <DocSecurity>0</DocSecurity>
  <Lines>19</Lines>
  <Paragraphs>5</Paragraphs>
  <ScaleCrop>false</ScaleCrop>
  <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4</cp:revision>
  <dcterms:created xsi:type="dcterms:W3CDTF">2021-12-31T09:22:00Z</dcterms:created>
  <dcterms:modified xsi:type="dcterms:W3CDTF">2021-12-31T09:31:00Z</dcterms:modified>
</cp:coreProperties>
</file>