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7CC" w:rsidRPr="005607CC" w:rsidRDefault="005607CC" w:rsidP="005607CC">
      <w:pPr>
        <w:keepNext/>
        <w:keepLines/>
        <w:spacing w:before="200" w:after="120" w:line="320" w:lineRule="exact"/>
        <w:outlineLvl w:val="1"/>
        <w:rPr>
          <w:rFonts w:ascii="Times New Roman" w:eastAsia="Times New Roman" w:hAnsi="Times New Roman" w:cs="Times New Roman"/>
          <w:b/>
          <w:bCs/>
          <w:i/>
          <w:sz w:val="26"/>
          <w:szCs w:val="26"/>
        </w:rPr>
      </w:pPr>
      <w:bookmarkStart w:id="0" w:name="_Toc374449819"/>
      <w:bookmarkStart w:id="1" w:name="_Toc406063149"/>
      <w:r w:rsidRPr="005607CC">
        <w:rPr>
          <w:rFonts w:ascii="Times New Roman" w:eastAsia="Times New Roman" w:hAnsi="Times New Roman" w:cs="Times New Roman"/>
          <w:b/>
          <w:bCs/>
          <w:i/>
          <w:kern w:val="1"/>
          <w:sz w:val="26"/>
          <w:szCs w:val="26"/>
          <w:lang w:eastAsia="ar-SA"/>
        </w:rPr>
        <w:t>5.3. Il sacrificio di Isacco in Gn 22 dal punto di vista narrativo</w:t>
      </w:r>
      <w:bookmarkEnd w:id="0"/>
      <w:bookmarkEnd w:id="1"/>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La pericope è piuttosto isolata nel contesto della narrazione del ciclo di Abramo. L’unico collegamento tra ciò che precede e ciò che segue è costituito dalla notazione geografica relativa a Bersabea (cfr. 21, 33; 22, 19).</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Fin dal versetto 1 il narratore intende che si tratta di una vera e propria prova da parte di Dio. Si usa qui un termine tecnico, con il quale si indica un procedimento che avviene nel contesto di una contesa tra due parti in causa, tramite la quale una parte vuole ottenere dall’altra la garanzia della sua innocenza (cfr. uso delle concordanze). Può essere sia una iniziativa divina, che ad esempio attraverso il dono della manna, razionata giorno per giorno, vuole mettere alla prova la fedeltà di Israele (cfr. Es 16, 4), o un’iniziativa del popolo, come a Massa e Meriba, dove viene messo alla prova Dio, per avere la garanzia che egli sia proprio in mezzo a loro, atteggiamento che viene qualificato come mancanza di fede da parte del narratore (cfr. Es 17, 7; Num 14, 22; Dt 8, 16; Sal 78, 18. 48; Sal 95, 9). In Dt 4, 34, con riferimento alle piaghe d’Egitto, si usa un termine della stessa radice del verbo, e che possiamo tradurre con prove. I segni e prodigi delle piaghe sono delle prove nella contesa tra Dio e il Faraone, per mostrare cosa c’era nel cuore del Faraone. Tuttavia nel contesto di Deuteronomio 4 queste prove divengono segni e manifestazioni nei confronti di Israele, per rafforzarne la fede nei confronti del suo Dio. Una prova può dunque essere positiva, volta cioè a manifestare le qualità positive di Dio o dell’uomo (cfr. anche Es 20, 20) . Nel caso di Gen 22, 1 si tratta proprio di questo, Dio vuole rendere evidente, manifestare l’obbedienza e la fede del suo servo, per manifestare a sua volta la sua benedizione.</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Ma Abramo non sa che si tratta di una prova e prende sul serio il comando di Dio. C’è qui un gioco narrativo di fondamentale importanza tra narratore e lettore, a scapito del protagonista, che tecnicamente si chiama “focalizzazione zero”. Ossia il lettore, grazie alle notizie comunicategli da un narratore onnisciente, sa quello che i personaggi della vicenda non sanno. Il lettore sa fin dall’inizio che si tratta di una prova positiva da parte di Dio e che quindi Dio non fa sul serio e sa al contempo che Abramo non lo sa. Così il lettore è invitato a guardare con trepidazione e compassione ad Abramo e nello stesso tempo anche con grande ammirazione per il suo atteggiamento di radicale obbedienza.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Il lettore è consapevole di tutta la storia di Abramo, delle sue sofferenze fino a tarda età per non avere un erede (cfr. Gen 15, 1 – 2; 16, 1) nonostante la promessa di Dio per la quale egli aveva lasciato tutto il suo passato ed era partito (cfr. 12, 1) e dunque immagina quanto il comando di Dio sia per Abramo qualcosa di assolutamente incomprensibile, dal momento che gli chiede di sacrificare il figlio donato da Dio stesso, dopo tanti anni di attesa, e con un miracolo che ha vinto sulla sterilità e la vecchiaia di Sara.  Si tratta di offrire in olocausto il figlio unigenito, che egli ama. Ciò non fa che aumentare l’ammirazione per la grandezza dell’obbedienza di Abramo.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Il narratore si sofferma particolarmente su dettagli che rivelano la tenerezza del rapporto di Abramo con il figlio.  Abramo prima sella l’asino per partire e poi però spacca la legna, come a voler ritardare la partenza. Poi in mano al figlio non mette oggetti pericolosi come il coltello o il fuoco, ma solo la legna.  Il dialogo tra Abramo e suo figlio è una geniale pittura dell’animo. L’amore tra padre e figlio si esprime nell’uso ripetuto scambievolmente degli appellativi e dei possessivi: “padre mio; figlio mio”. L’obbedienza di Abramo non è dunque il freddo e disumano automatismo di una macchina, è </w:t>
      </w:r>
      <w:r w:rsidRPr="005607CC">
        <w:rPr>
          <w:rFonts w:ascii="Times New Roman" w:eastAsia="Calibri" w:hAnsi="Times New Roman" w:cs="Times New Roman"/>
          <w:sz w:val="24"/>
          <w:szCs w:val="24"/>
        </w:rPr>
        <w:lastRenderedPageBreak/>
        <w:t>una sofferta sequenza di azioni in cui Abramo mette in moto la sua decisione di obbedire a Dio e al contempo l’amore per il suo figlio Isacco si manifesta in tutta la sua commovente profondità.</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 La risposta del padre alla domanda intelligente di Isacco: “Qui c’è il fuoco e la legna, ma dov’è l’agnello per l’olocausto?” è pervasa da una fede trepidante nella provvidenza di Dio: Dio stesso vedrà per se (per lui) l’agnello per l’olocausto.  Ad un primo significato il versetto indica che Dio provvede l’agnello sacrificale per se. Ma il verbo usato significa “vedere” e il nome che Abramo darà al luogo è: jhwh vede (v. 14). Cosa vuol dire? Cosa vede Dio? Il significato soggiacente è che lo sguardo di Dio, benevolo e provvidente, non si stacca mai dall’uomo, per sostenerlo e favorirlo. Abramo ha totalmente rinunciato al possesso del dono della promessa, vedendolo in questo modo proprio come dono puro e semplice, di cui non si è portatori in base ad un proprio diritto. Restituire il dono vuol dire rispettare e accogliere pienamente la rivelazione del donatore.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 Quindi la risposta di Abramo è in realtà una grande attestazione di fede da parte sua. Qui giunge al culmine quella prova che il narratore aveva introdotto al v. 1, il cuore di Abramo è tutto per Dio, egli è il suo bene più grande, e per lui è disposto a sacrificare anche il figlio della promessa, che aveva ricevuto da lui. Qui abbiamo un primo culmine della trama di rivelazione, che riguarda l’obbedienza di Abramo (cfr. scheda su trama di rivelazione e di risoluzione). Il seguito delle azioni portano avanti la risoluzione, che ha un picco di tensione quando la mano di Abramo si alza vibrando il coltello per uccidere Isacco. La suspence creata dal susseguirsi di queste azioni e la drammaticità di ciò che sta per accadere mettono alla prova la fede del lettore, che mentre Abramo alza il coltello, chiude gli occhi e si chiede se era proprio vero che si trattava solo di una prova. Cosa farà Dio? L’intervento dell’angelo, che blocca la mano di Abramo all’ultimo momento e con il miracoloso segno dell’ariete impigliato in un albero, sciolgono questo tensione e porta a termine la trama di risoluzione.</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Mentre la fede di Abramo è ormai comprovata al v. 8, da quel momento in poi viene messa alla prova la fede del lettore, che si chiede con angoscia cosa farà Dio a questo punto. Il narratore intende in questo modo mostrare che la prova di fede di Abramo è in realtà simultaneamente una prova di fede per il lettore. Quale immagine di Dio ha il lettore, il quale si ribella di fronte a un Dio che mette alla prova Abramo, temendo che sia un Dio cattivo? La fede di Abramo educa quella del lettore. Anche qui la risoluzione degli eventi è in funzione di una rivelazione, la rivelazione di un Dio che vede, che si prende cura dell’uomo.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Per Abramo Dio può chiedere qualsiasi cosa perché “Dio vede”, ossia si prende cura dell’uomo, lo ama. Questo è implicito in tutti gli atti compiuti da Abramo in questo racconto. Mentre Dio mette alla prova la fede di Abramo, perché egli si manifesti come l’uomo obbediente alla parola di Dio e che a Lui dona ogni cosa, Abramo ubbidendo mette alla prova l’amore di Dio, perché egli si manifesti come il Dio che ama l’uomo vivente.  Ogni atto da lui compiuto verso il sacrificio del figlio al monte Moria è una testimonianza della sua fede incrollabile e paradossale nel fatto che Dio è il Dio della vita (per l’autore della lettera agli Ebrei, Abramo crede nella resurrezione dai morti Eb 11, 17 – 19). In fondo, se vogliamo, Dio è venuto ad abitare l’immagine crudele che l’uomo si è fatto di lui fin dall’inizio dell’umanità, per liberarlo da essa e non c’era altro modo per farlo, se non attraverso la fede di Abramo. Dio mette alla prova la fede di Abramo  (Dio vede), perché egli possa mettere alla prova il suo amore e questo per la fede di tutti i lettori!</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lastRenderedPageBreak/>
        <w:t>Allo stesso modo Isacco non può credere di essere ingannato dalla parola del padre, e supera la paura di essere ingannato dal padre, facendosi legare. La prova di fede di Abramo è implicitamente affrontata anche da Isacco nel rapporto con il padre (cfr. tradizione ebraica sulla legatura di Isacco).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Ciò mi pare si ricolleghi bene alla duplice tradizione del nome del luogo: il signore vede e “sul monte il Signore è visto si fa vedere”, gioca con il verbo vedere. La fede di Abramo riguardo al fatto che Dio vede rende possibile la manifestazione, la rivelazione di Dio in lui (Dio si fa vedere). Si annuncia qui qualcosa che il narratore non poteva prevedere, ma la cui figura risplende nel rapporto tra Abramo e Isacco. Il figlio unico e prediletto viene donato dal Padre e il Figlio stesso si lascia donare fidandosi di lui. Questa figura si compie e cade nel momento in cui la realtà risplende nella croce del Figlio, dove il Padre si rivela come il donatore per eccellenza. Questo senso spirituale, pieno del testo, è in continuità con il senso letterale,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Al termine di questa prova, la promessa di Dio viene confermata (v. 15 – 18). Qui, con un secondo picco, arriva a compiersi la trama di rivelazione: con la conferma della promessa di Dio e della sua benedizione (cfr. 12, 3; 15, 5). Proprio perché non gli ha rifiutato il suo Figlio, Abramo sarà il padre di una discendenza numerosa come le stelle del cielo. </w:t>
      </w:r>
    </w:p>
    <w:p w:rsidR="005607CC" w:rsidRPr="005607CC" w:rsidRDefault="005607CC" w:rsidP="005607CC">
      <w:pPr>
        <w:spacing w:after="0" w:line="320" w:lineRule="exact"/>
        <w:jc w:val="both"/>
        <w:rPr>
          <w:rFonts w:ascii="Times New Roman" w:eastAsia="Calibri" w:hAnsi="Times New Roman" w:cs="Times New Roman"/>
          <w:sz w:val="24"/>
          <w:szCs w:val="24"/>
        </w:rPr>
      </w:pPr>
    </w:p>
    <w:p w:rsidR="005607CC" w:rsidRPr="005607CC" w:rsidRDefault="005607CC" w:rsidP="005607CC">
      <w:pPr>
        <w:spacing w:after="0" w:line="320" w:lineRule="exact"/>
        <w:jc w:val="both"/>
        <w:rPr>
          <w:rFonts w:ascii="Times New Roman" w:eastAsia="Calibri" w:hAnsi="Times New Roman" w:cs="Times New Roman"/>
          <w:sz w:val="24"/>
          <w:szCs w:val="24"/>
        </w:rPr>
      </w:pPr>
    </w:p>
    <w:p w:rsidR="005607CC" w:rsidRPr="005607CC" w:rsidRDefault="005607CC" w:rsidP="005607CC">
      <w:pPr>
        <w:keepNext/>
        <w:keepLines/>
        <w:spacing w:before="200" w:after="120" w:line="320" w:lineRule="exact"/>
        <w:outlineLvl w:val="1"/>
        <w:rPr>
          <w:rFonts w:ascii="Times New Roman" w:eastAsia="Times New Roman" w:hAnsi="Times New Roman" w:cs="Times New Roman"/>
          <w:b/>
          <w:bCs/>
          <w:i/>
          <w:sz w:val="24"/>
          <w:szCs w:val="26"/>
        </w:rPr>
      </w:pPr>
      <w:bookmarkStart w:id="2" w:name="_Toc374449820"/>
      <w:bookmarkStart w:id="3" w:name="_Toc406063150"/>
      <w:r w:rsidRPr="005607CC">
        <w:rPr>
          <w:rFonts w:ascii="Times New Roman" w:eastAsia="Times New Roman" w:hAnsi="Times New Roman" w:cs="Times New Roman"/>
          <w:b/>
          <w:bCs/>
          <w:i/>
          <w:sz w:val="26"/>
          <w:szCs w:val="26"/>
        </w:rPr>
        <w:t>5.4. Coda su senso letterale e senso spirituale</w:t>
      </w:r>
      <w:bookmarkEnd w:id="2"/>
      <w:bookmarkEnd w:id="3"/>
      <w:r w:rsidRPr="005607CC">
        <w:rPr>
          <w:rFonts w:ascii="Times New Roman" w:eastAsia="Times New Roman" w:hAnsi="Times New Roman" w:cs="Times New Roman"/>
          <w:b/>
          <w:bCs/>
          <w:i/>
          <w:sz w:val="24"/>
          <w:szCs w:val="26"/>
        </w:rPr>
        <w:t xml:space="preserve"> </w:t>
      </w:r>
    </w:p>
    <w:p w:rsidR="005607CC" w:rsidRPr="005607CC" w:rsidRDefault="005607CC" w:rsidP="005607CC">
      <w:pPr>
        <w:spacing w:after="200" w:line="320" w:lineRule="exact"/>
        <w:jc w:val="both"/>
        <w:rPr>
          <w:rFonts w:ascii="Times New Roman" w:eastAsia="Calibri" w:hAnsi="Times New Roman" w:cs="Times New Roman"/>
          <w:i/>
          <w:sz w:val="24"/>
          <w:szCs w:val="24"/>
        </w:rPr>
      </w:pPr>
      <w:r w:rsidRPr="005607CC">
        <w:rPr>
          <w:rFonts w:ascii="Times New Roman" w:eastAsia="Calibri" w:hAnsi="Times New Roman" w:cs="Times New Roman"/>
          <w:sz w:val="24"/>
          <w:szCs w:val="24"/>
        </w:rPr>
        <w:t xml:space="preserve">Interpretazione della Bibbia nella Chiesa (P.C.B. 1993; 1407 Enchiridium Biblicum): </w:t>
      </w:r>
      <w:r w:rsidRPr="005607CC">
        <w:rPr>
          <w:rFonts w:ascii="Times New Roman" w:eastAsia="Calibri" w:hAnsi="Times New Roman" w:cs="Times New Roman"/>
          <w:i/>
          <w:sz w:val="24"/>
          <w:szCs w:val="24"/>
        </w:rPr>
        <w:t xml:space="preserve">il senso letterale della Scrittura è quello espresso direttamente dagli autori umani ispirati. Essendo frutto dell’ispirazione, questo senso è voluto anche da Dio, autore principale. Lo si discerne grazie a un’analisi precisa del testo, situato nel suo contesto letterario e storico. Il compito principale dell’esegesi è proprio quello di condurre a questa analisi, utilizzando tutte le possibilità delle ricerche letterarie e storiche, al fine di definire il senso, letterale dei testi biblici con la maggiore esattezza possibile (Divino afflante Spiritu, EB 550). Per tale scopo, lo studio dei generi letterari antichi è particolarmente necessario (ibid. 560).   </w:t>
      </w:r>
    </w:p>
    <w:p w:rsidR="005607CC" w:rsidRPr="005607CC" w:rsidRDefault="005607CC" w:rsidP="005607CC">
      <w:pPr>
        <w:spacing w:after="200" w:line="320" w:lineRule="exact"/>
        <w:jc w:val="both"/>
        <w:rPr>
          <w:rFonts w:ascii="Times New Roman" w:eastAsia="Calibri" w:hAnsi="Times New Roman" w:cs="Times New Roman"/>
          <w:i/>
          <w:sz w:val="24"/>
          <w:szCs w:val="24"/>
        </w:rPr>
      </w:pPr>
      <w:r w:rsidRPr="005607CC">
        <w:rPr>
          <w:rFonts w:ascii="Times New Roman" w:eastAsia="Calibri" w:hAnsi="Times New Roman" w:cs="Times New Roman"/>
          <w:sz w:val="24"/>
          <w:szCs w:val="24"/>
        </w:rPr>
        <w:t xml:space="preserve">Interpretazione della Bibbia nella Chiesa (P.C.B. 1993; 1413 Enchiridium Biblicum): </w:t>
      </w:r>
      <w:r w:rsidRPr="005607CC">
        <w:rPr>
          <w:rFonts w:ascii="Times New Roman" w:eastAsia="Calibri" w:hAnsi="Times New Roman" w:cs="Times New Roman"/>
          <w:i/>
          <w:sz w:val="24"/>
          <w:szCs w:val="24"/>
        </w:rPr>
        <w:t>Come regola generale, possiamo definire il senso spirituale, compreso secondo la fede cristiana, il senso espresso dai testi biblici quando vengono letti sotto l’influsso dello Spirito Santo nel contesto del mistero pasquale di Cristo e della vita nuova che ne risulta. Questo contesto esiste effettivamente. Il Nuovo Testamento riconosce in esso il compimento delle Scritture. È perciò normale rileggere le Scritture alla luce di questo nuovo contesto, quello della vita nello Spirito.</w:t>
      </w:r>
    </w:p>
    <w:p w:rsidR="00920DAC" w:rsidRDefault="005607CC"/>
    <w:p w:rsidR="005607CC" w:rsidRPr="005607CC" w:rsidRDefault="005607CC" w:rsidP="005607CC">
      <w:pPr>
        <w:keepNext/>
        <w:keepLines/>
        <w:spacing w:before="240" w:after="0" w:line="320" w:lineRule="exact"/>
        <w:outlineLvl w:val="0"/>
        <w:rPr>
          <w:rFonts w:ascii="Times New Roman" w:eastAsia="Times New Roman" w:hAnsi="Times New Roman" w:cs="Times New Roman"/>
          <w:b/>
          <w:sz w:val="28"/>
          <w:szCs w:val="28"/>
        </w:rPr>
      </w:pPr>
      <w:bookmarkStart w:id="4" w:name="_Toc406063145"/>
      <w:r w:rsidRPr="005607CC">
        <w:rPr>
          <w:rFonts w:ascii="Times New Roman" w:eastAsia="Times New Roman" w:hAnsi="Times New Roman" w:cs="Times New Roman"/>
          <w:b/>
          <w:sz w:val="28"/>
          <w:szCs w:val="28"/>
        </w:rPr>
        <w:t>4.COMMENTO A DV 16. AT E NT: MODELLI DI RAPPORTO.</w:t>
      </w:r>
      <w:bookmarkEnd w:id="4"/>
    </w:p>
    <w:p w:rsidR="005607CC" w:rsidRPr="005607CC" w:rsidRDefault="005607CC" w:rsidP="005607CC">
      <w:pPr>
        <w:keepNext/>
        <w:keepLines/>
        <w:spacing w:before="160" w:after="0" w:line="276" w:lineRule="auto"/>
        <w:rPr>
          <w:rFonts w:ascii="Times New Roman" w:eastAsia="Calibri" w:hAnsi="Times New Roman" w:cs="Times New Roman"/>
          <w:b/>
          <w:sz w:val="26"/>
          <w:szCs w:val="26"/>
        </w:rPr>
      </w:pPr>
      <w:bookmarkStart w:id="5" w:name="_Toc374449813"/>
      <w:r w:rsidRPr="005607CC">
        <w:rPr>
          <w:rFonts w:ascii="Times New Roman" w:eastAsia="Calibri" w:hAnsi="Times New Roman" w:cs="Times New Roman"/>
          <w:b/>
          <w:sz w:val="26"/>
          <w:szCs w:val="26"/>
        </w:rPr>
        <w:t>DEI VERBUM 16</w:t>
      </w:r>
      <w:bookmarkEnd w:id="5"/>
    </w:p>
    <w:p w:rsidR="005607CC" w:rsidRPr="005607CC" w:rsidRDefault="005607CC" w:rsidP="005607CC">
      <w:pPr>
        <w:spacing w:before="120" w:after="120" w:line="240" w:lineRule="auto"/>
        <w:ind w:left="567" w:right="567"/>
        <w:jc w:val="both"/>
        <w:rPr>
          <w:rFonts w:ascii="Times New Roman" w:eastAsia="Calibri" w:hAnsi="Times New Roman" w:cs="Times New Roman"/>
          <w:i/>
          <w:sz w:val="24"/>
          <w:szCs w:val="24"/>
        </w:rPr>
      </w:pPr>
      <w:r w:rsidRPr="005607CC">
        <w:rPr>
          <w:rFonts w:ascii="Times New Roman" w:eastAsia="Calibri" w:hAnsi="Times New Roman" w:cs="Times New Roman"/>
          <w:i/>
          <w:sz w:val="24"/>
          <w:szCs w:val="24"/>
        </w:rPr>
        <w:t xml:space="preserve">16. Dio dunque, il quale ha ispirato i libri dell'uno e dell'altro Testamento e ne è l'autore, ha sapientemente disposto che il Nuovo fosse nascosto nel Vecchio e il Vecchio fosse svelato nel Nuovo (29). Poiché, anche se Cristo ha fondato la Nuova Alleanza nel sangue suo (cfr. Lc 22,20; 1 Cor 11,25), tuttavia i libri del Vecchio Testamento, integralmente </w:t>
      </w:r>
      <w:r w:rsidRPr="005607CC">
        <w:rPr>
          <w:rFonts w:ascii="Times New Roman" w:eastAsia="Calibri" w:hAnsi="Times New Roman" w:cs="Times New Roman"/>
          <w:i/>
          <w:sz w:val="24"/>
          <w:szCs w:val="24"/>
        </w:rPr>
        <w:lastRenderedPageBreak/>
        <w:t>assunti nella predicazione evangelica (30), acquistano e manifestano il loro pieno significato nel Nuovo Testamento (cfr. Mt 5,17; Lc 24,27), che essi a loro volta illuminano e spiegano.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Quale rapporto possiamo pensare tra AT e NT. Il punto di partenza della nostra riflessione vuole essere Rm 11, 29: l’ alleanza di Dio con Israele non è mai stata annullata, perché i doni e la chiamata di Dio sono irrevocabili (senza pentimento). Questo sarà il punto di riferimento e il filo conduttore che ci guiderà nel riflettere sull’AT in rapporto con Cristo e col NT, evitando il rischio di considerarlo come qualcosa di sorpassato! Una teologia di questo tipo è erronea e non fondata né sulla Scrittura né sulla tradizione dei padri e della Chiesa. Infatti non vi è alcun documento della Chiesa che dica che l’AT è superato e non serve più. Questo contraddirebbe il fatto che lo consideriamo ispirato e ispirante per la vita della Chiesa e che fa parte del canone. Sarebbe sbagliato anche ritenere che l’AT sia importante solo nella misura in cui è citato dal NT e serve a chiarire il NT. Uno comprensione di questo tipo, ossia di carattere meramente funzionale, contraddice  la natura stessa dell’ispirazione, che comporta una piena collaborazione dell’uomo all’opera dello Spirito Santo, il quale non può essere considerato mero strumento in funzione di qualcosa d’altro. Detto in altri termini, c’è una pienezza di umanità nell’AT, attraverso la quale passa il soffio dello Spirito, che va considerata nella sua autonomia, per poter apprezzare fino in fondo il mistero del compimento cristologico delle Scritture, come mistero della libertà di Dio e dell’uomo insieme ( cfr. l’uomo sofferente del Salmo 22 rappresenta un uomo in carne e ossa, o ancor meglio, l’esperienza di un popolo in carne e ossa. Solo passando attraverso questo  spessore di umanità, questa “figura” reale, si può poi arrivare a capire come questo Salmo si compie nel mistero del Cristo morto in croce e risorto).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Allora, per essere più precisi, quali modelli sono stati costruiti nella storia per pensare il rapporto tra AT e NT?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1) </w:t>
      </w:r>
      <w:r w:rsidRPr="005607CC">
        <w:rPr>
          <w:rFonts w:ascii="Times New Roman" w:eastAsia="Calibri" w:hAnsi="Times New Roman" w:cs="Times New Roman"/>
          <w:b/>
          <w:sz w:val="24"/>
          <w:szCs w:val="24"/>
        </w:rPr>
        <w:t>Modello di sostituzione</w:t>
      </w:r>
      <w:r w:rsidRPr="005607CC">
        <w:rPr>
          <w:rFonts w:ascii="Times New Roman" w:eastAsia="Calibri" w:hAnsi="Times New Roman" w:cs="Times New Roman"/>
          <w:sz w:val="24"/>
          <w:szCs w:val="24"/>
        </w:rPr>
        <w:t>: il NT sostituisce l’AT. Questo modello Il popolo di Dio è la Chiesa, Israele è stato rigettato (cfr. Mt 8, 11 – 12 . Questo modello si coglie qua e la nell’interpretazione di qualche padre della Chiesa, come ad esempio l’apologista Giustino nel suo dialogo con Trifone ( tra 155 e 160 d.C. ).  Ma sarà Marcione a farne il cuore della sua impostazione esegetica e teologica, di fatto espellendo tutto l’AT e gran parte del NT dal canone scritturistico. In epoca moderna e contemporanea posizioni simili sono state assunte da Schleiermacher e da von Harnack.</w:t>
      </w:r>
    </w:p>
    <w:p w:rsidR="005607CC" w:rsidRPr="005607CC" w:rsidRDefault="005607CC" w:rsidP="005607CC">
      <w:pPr>
        <w:spacing w:after="0" w:line="320" w:lineRule="exact"/>
        <w:jc w:val="both"/>
        <w:rPr>
          <w:rFonts w:ascii="Times New Roman" w:eastAsia="Calibri" w:hAnsi="Times New Roman" w:cs="Times New Roman"/>
          <w:sz w:val="24"/>
          <w:szCs w:val="24"/>
        </w:rPr>
      </w:pP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Lo scritto neotestamentario che più da vicino sembra appoggiare questo modello è Eb 10, 1 – </w:t>
      </w:r>
      <w:smartTag w:uri="urn:schemas-microsoft-com:office:smarttags" w:element="metricconverter">
        <w:smartTagPr>
          <w:attr w:name="ProductID" w:val="18. In"/>
        </w:smartTagPr>
        <w:r w:rsidRPr="005607CC">
          <w:rPr>
            <w:rFonts w:ascii="Times New Roman" w:eastAsia="Calibri" w:hAnsi="Times New Roman" w:cs="Times New Roman"/>
            <w:sz w:val="24"/>
            <w:szCs w:val="24"/>
          </w:rPr>
          <w:t>18. In</w:t>
        </w:r>
      </w:smartTag>
      <w:r w:rsidRPr="005607CC">
        <w:rPr>
          <w:rFonts w:ascii="Times New Roman" w:eastAsia="Calibri" w:hAnsi="Times New Roman" w:cs="Times New Roman"/>
          <w:sz w:val="24"/>
          <w:szCs w:val="24"/>
        </w:rPr>
        <w:t xml:space="preserve"> particolare  10, 18 sembra abolire l’alleanza precedente, perché con il sacrificio di Cristo non vi è più bisogno dei sacrifici levitici. Cristo è infatti il sommo sacerdote che con la sua morte sacrificale ha riconciliato una volta per tutte gli uomini con Dio, mentre il culto sacrificale antico aveva bisogno di molti riti senza poter compiere ciò che Cristo ha compiuto.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1 La Legge infatti, poiché possiede soltanto un'ombra dei beni futuri e non la realtà stessa delle cose, non ha mai il potere di condurre alla perfezione per mezzo di sacrifici - sempre uguali, che si continuano a offrire di anno in anno - coloro che si accostano a Dio. 2Altrimenti, non si sarebbe forse cessato di offrirli, dal momento che gli offerenti, purificati una volta per tutte, non avrebbero più alcuna coscienza dei peccati? 3Invece in quei sacrifici si rinnova di anno in anno il ricordo dei peccati. 4È impossibile infatti che il sangue di tori e di capri elimini i peccati. 5Per questo, entrando nel mondo, Cristo dice:</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lastRenderedPageBreak/>
        <w:t>Tu non hai voluto né sacrificio né offerta,</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un corpo invece mi hai preparato.</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6 Non hai gradito</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né olocausti né sacrifici per il peccato.</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7Allora ho detto: «Ecco, io vengo</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poiché di me sta scritto nel rotolo del libro -</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per fare, o Dio, la tua volontà».</w:t>
      </w:r>
    </w:p>
    <w:p w:rsidR="005607CC" w:rsidRPr="005607CC" w:rsidRDefault="005607CC" w:rsidP="005607CC">
      <w:pPr>
        <w:spacing w:after="200" w:line="320" w:lineRule="exact"/>
        <w:jc w:val="both"/>
        <w:rPr>
          <w:rFonts w:ascii="Times New Roman" w:eastAsia="Calibri" w:hAnsi="Times New Roman" w:cs="Times New Roman"/>
          <w:sz w:val="24"/>
          <w:szCs w:val="24"/>
        </w:rPr>
      </w:pPr>
    </w:p>
    <w:p w:rsidR="005607CC" w:rsidRPr="005607CC" w:rsidRDefault="005607CC" w:rsidP="005607CC">
      <w:pPr>
        <w:spacing w:after="200" w:line="320" w:lineRule="exact"/>
        <w:jc w:val="both"/>
        <w:rPr>
          <w:rFonts w:ascii="Times New Roman" w:eastAsia="Calibri" w:hAnsi="Times New Roman" w:cs="Times New Roman"/>
          <w:sz w:val="24"/>
          <w:szCs w:val="24"/>
          <w:u w:val="single"/>
        </w:rPr>
      </w:pPr>
      <w:r w:rsidRPr="005607CC">
        <w:rPr>
          <w:rFonts w:ascii="Times New Roman" w:eastAsia="Calibri" w:hAnsi="Times New Roman" w:cs="Times New Roman"/>
          <w:sz w:val="24"/>
          <w:szCs w:val="24"/>
        </w:rPr>
        <w:t xml:space="preserve">8Dopo aver detto: Tu non hai voluto e non hai gradito né sacrifici né offerte, né olocausti né sacrifici per il peccato, cose che vengono offerte secondo la Legge, 9soggiunge: Ecco, io vengo a fare la tua volontà. </w:t>
      </w:r>
      <w:r w:rsidRPr="005607CC">
        <w:rPr>
          <w:rFonts w:ascii="Times New Roman" w:eastAsia="Calibri" w:hAnsi="Times New Roman" w:cs="Times New Roman"/>
          <w:sz w:val="24"/>
          <w:szCs w:val="24"/>
          <w:u w:val="single"/>
        </w:rPr>
        <w:t>Così egli abolisce il primo sacrificio per costituire quello nuovo. 10Mediante quella volontà siamo stati santificati per mezzo dell'offerta del corpo di Gesù Cristo, una volta per sempre.</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11Ogni sacerdote si presenta giorno per giorno a celebrare il culto e a offrire molte volte gli stessi sacrifici, che non possono mai eliminare i peccati. 12Cristo, invece, avendo offerto un solo sacrificio per i peccati, si è assiso per sempre alla destra di Dio, 13aspettando ormai che i suoi nemici vengano posti a sgabello dei suoi piedi. 14Infatti, con un'unica offerta egli ha reso perfetti per sempre quelli che vengono santificati. 15A noi lo testimonia anche lo Spirito Santo. Infatti, dopo aver detto:</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16Questa è l'alleanza che io stipulerò con loro</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dopo quei giorni, dice il Signore:</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io porrò le mie leggi nei loro cuori</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e le imprimerò nella loro mente,</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dice:</w:t>
      </w:r>
    </w:p>
    <w:p w:rsidR="005607CC" w:rsidRPr="005607CC" w:rsidRDefault="005607CC" w:rsidP="005607CC">
      <w:pPr>
        <w:spacing w:after="0" w:line="320" w:lineRule="exact"/>
        <w:ind w:left="708"/>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17e non mi ricorderò più dei loro peccati e delle loro iniquità.</w:t>
      </w:r>
    </w:p>
    <w:p w:rsidR="005607CC" w:rsidRPr="005607CC" w:rsidRDefault="005607CC" w:rsidP="005607CC">
      <w:pPr>
        <w:spacing w:after="200" w:line="320" w:lineRule="exact"/>
        <w:jc w:val="both"/>
        <w:rPr>
          <w:rFonts w:ascii="Times New Roman" w:eastAsia="Calibri" w:hAnsi="Times New Roman" w:cs="Times New Roman"/>
          <w:sz w:val="24"/>
          <w:szCs w:val="24"/>
        </w:rPr>
      </w:pP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18</w:t>
      </w:r>
      <w:r w:rsidRPr="005607CC">
        <w:rPr>
          <w:rFonts w:ascii="Times New Roman" w:eastAsia="Calibri" w:hAnsi="Times New Roman" w:cs="Times New Roman"/>
          <w:sz w:val="24"/>
          <w:szCs w:val="24"/>
          <w:u w:val="single"/>
        </w:rPr>
        <w:t>Ora, dove c'è il perdono di queste cose, non c'è più offerta per il peccato.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L’autore però non dice mai che l’alleanza sinaitica come tale è stata abolita. Il richiamo alla nuova alleanza di Geremia 31, 33 - 34 mostra che l’autore pensa alla nuova alleanza non come fine dell’alleanza sinaitica (abolizione della legge), ma come compimento di essa, nella discontinuità rispetto al sacerdozio levitico del tempio (traendo ispirazione della linea profetico/sacerdotale, attestata in Geremia e anche in Ezechiele). Non ci si può dunque servire di Eb 10, 18 per appoggiare una teologia della sostituzione tra i due testamenti.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b/>
          <w:sz w:val="24"/>
          <w:szCs w:val="24"/>
        </w:rPr>
        <w:t>Modello di preparazione</w:t>
      </w:r>
      <w:r w:rsidRPr="005607CC">
        <w:rPr>
          <w:rFonts w:ascii="Times New Roman" w:eastAsia="Calibri" w:hAnsi="Times New Roman" w:cs="Times New Roman"/>
          <w:sz w:val="24"/>
          <w:szCs w:val="24"/>
        </w:rPr>
        <w:t>: (cfr. DV 15). In questo modello l’AT è visto come una preparazione e annunzio profetico di Gesù Cristo. Esso è visto come un repertorio di figure (tempio, agnello pasquale, Mosè, servo sofferente, profeta, re, sacerdote, pastore ) che il NT applica a Cristo come compimento. Tuttavia il rischio di questo modello è, come abbiamo già anticipato, di considerare l’AT come meramente funzionale al NT, e di fatto, abolito da quest’ultimo, perché serve solo a comprendere il NT. Esso invece ha un suo spessore storico, come storia di rivelazione che ha un valore perenne (cfr. Rm 11, 29).</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Uno scritto neotestamentario può essere interpretato in questo senso, ossia Gal 4, 21 – 30.</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lastRenderedPageBreak/>
        <w:t>21Ditemi, voi che volete essere sotto la Legge: non sentite che cosa dice la Legge? 22Sta scritto infatti che Abramo ebbe due figli, uno dalla schiava e uno dalla donna libera. 23Ma il figlio della schiava è nato secondo la carne; il figlio della donna libera, in virtù della promessa. 24Ora, queste cose sono dette per allegoria: le due donne infatti rappresentano le due alleanze. Una, quella del monte Sinai, che genera nella schiavitù, è rappresentata da Agar 25- il Sinai è un monte dell'Arabia -; essa corrisponde alla Gerusalemme attuale, che di fatto è schiava insieme ai suoi figli. 26Invece la Gerusalemme di lassù è libera ed è la madre di tutti noi. 27Sta scritto infatti:</w:t>
      </w:r>
    </w:p>
    <w:p w:rsidR="005607CC" w:rsidRPr="005607CC" w:rsidRDefault="005607CC" w:rsidP="005607CC">
      <w:pPr>
        <w:spacing w:after="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Rallégrati, sterile, tu che non partorisci,</w:t>
      </w:r>
    </w:p>
    <w:p w:rsidR="005607CC" w:rsidRPr="005607CC" w:rsidRDefault="005607CC" w:rsidP="005607CC">
      <w:pPr>
        <w:spacing w:after="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grida di gioia, tu che non conosci i dolori del parto,</w:t>
      </w:r>
    </w:p>
    <w:p w:rsidR="005607CC" w:rsidRPr="005607CC" w:rsidRDefault="005607CC" w:rsidP="005607CC">
      <w:pPr>
        <w:spacing w:after="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perché molti sono i figli dell'abbandonata,</w:t>
      </w:r>
    </w:p>
    <w:p w:rsidR="005607CC" w:rsidRPr="005607CC" w:rsidRDefault="005607CC" w:rsidP="005607CC">
      <w:pPr>
        <w:spacing w:after="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più di quelli della donna che ha marito.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28E voi, fratelli, siete figli della promessa, alla maniera di Isacco. 29Ma come allora colui che era nato secondo la carne perseguitava quello nato secondo lo spirito, così accade anche ora. 30Però, che cosa dice la Scrittura? Manda via la schiava e suo figlio, perché il figlio della schiava non avrà eredità col figlio della donna libera.</w:t>
      </w:r>
    </w:p>
    <w:p w:rsidR="005607CC" w:rsidRPr="005607CC" w:rsidRDefault="005607CC" w:rsidP="005607CC">
      <w:pPr>
        <w:spacing w:after="0" w:line="320" w:lineRule="exact"/>
        <w:jc w:val="both"/>
        <w:rPr>
          <w:rFonts w:ascii="Times New Roman" w:eastAsia="Calibri" w:hAnsi="Times New Roman" w:cs="Times New Roman"/>
          <w:sz w:val="24"/>
          <w:szCs w:val="24"/>
        </w:rPr>
      </w:pP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vv. 21 – 23: Paolo presenta i due figli, Ismaele e Isacco, collegati rispettivamente alla schiava e alla libera come figlio della carne e figlio della promessa.</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vv. 24 – 28: Paolo introduce l’allegoria, una donna, Agar, la schiava, rappresenta l’alleanza del monte Sinai ed è la Gerusalemme terrena. L’altra è invece la Gerusalemme di lassù ed è libera ed è la madre. Al v. 28 si conclude con un identificazione diretta degli interlocutori con i figli della madre libera / Gerusalemme celeste, come Isacco.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vv. 29 – 30: ora l’allegoria si applica ai due figli, ossia anche a quello della schiava, che viene interpretato come il giudeo che rimane sotto il giogo della legge, e in particolare il giudeocristiano che costituisce l’avversario diretto di Paolo nella lettera.</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L’ asse monte Sinai – Gerusalemme terrena è una sintesi di tutta la storia della salvezza veterotestamentaria vista come preparazione. Si riassume tutta la storia del popolo di Dio dal cammino nel deserto, passando attraverso il dono della legge sul monte Sinai, fino alla piena stabilità con l’instaurazione della monarchia davidica in Sion e la costruzione del tempio.  Questo asse è completato da quello tra Gerusalemme terrena e Gerusalemme celeste. Nel giudaismo tardivo la riflessione sulla storia di Gerusalemme, ricca di delusioni distruzioni e ricostruzioni, porta a non identificare più il compimento nella città terrena, ma con una Gerusalemme di lassù.</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Tuttavia il fatto che Paolo contrapponga Gerusalemme terrena e Gerusalemme celeste non implica che la promessa contenuta nell’AT non sia più valida. Infatti la Chiesa/Gerusalemme celeste è identificata con Isacco, dunque con il figlio della promessa. La contrapposizione delle due alleanze non implica alcuna sostituzione di questa promessa con una più valida, ma un compimento. L’AT, con la promessa fatta ad Abramo, non è abolito.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In questo modo Paolo non contrappone la legge/Sinai alla fede in Cristo (cfr. 3, 21), ma le pone in una rapporto di compimento. Egli, in realtà, intende mostrare la radicale incompatibilità tra due atteggiamenti di fronte alla legge e ultimamente davanti a Dio. Ossia l’atteggiamento di chi fa della </w:t>
      </w:r>
      <w:r w:rsidRPr="005607CC">
        <w:rPr>
          <w:rFonts w:ascii="Times New Roman" w:eastAsia="Calibri" w:hAnsi="Times New Roman" w:cs="Times New Roman"/>
          <w:sz w:val="24"/>
          <w:szCs w:val="24"/>
        </w:rPr>
        <w:lastRenderedPageBreak/>
        <w:t xml:space="preserve">Legge una barriera che impedisce di cogliere la libertà di coloro che aderiscono a Cristo e sono figli della Gerusalemme celeste, e l’atteggiamento di chi come Paolo ritiene che Cristo abbia rivelato il vero senso della Torah. Agar, Sinai e Gerusalemme terrena non sono affatto abolite ma sono una preparazione, che trova una piena liberazione nella Sion/Gerusalemme celeste. Dietro la formulazione allegorica c’è in realtà una vera e propria concezione tipologica di Paolo, la quale non svuota la storia ma la concentra e la porta a compimento.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Quindi in Paolo il rischio insito nel modello di preparazione è in realtà evitato.</w:t>
      </w:r>
    </w:p>
    <w:p w:rsidR="005607CC" w:rsidRPr="005607CC" w:rsidRDefault="005607CC" w:rsidP="005607CC">
      <w:pPr>
        <w:spacing w:after="0" w:line="320" w:lineRule="exact"/>
        <w:jc w:val="both"/>
        <w:rPr>
          <w:rFonts w:ascii="Times New Roman" w:eastAsia="Calibri" w:hAnsi="Times New Roman" w:cs="Times New Roman"/>
          <w:sz w:val="24"/>
          <w:szCs w:val="24"/>
        </w:rPr>
      </w:pP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b/>
          <w:sz w:val="24"/>
          <w:szCs w:val="24"/>
        </w:rPr>
        <w:t>Modello promessa – compimento</w:t>
      </w:r>
      <w:r w:rsidRPr="005607CC">
        <w:rPr>
          <w:rFonts w:ascii="Times New Roman" w:eastAsia="Calibri" w:hAnsi="Times New Roman" w:cs="Times New Roman"/>
          <w:sz w:val="24"/>
          <w:szCs w:val="24"/>
        </w:rPr>
        <w:t>:  l’AT in questo modello può essere compreso come una promessa che viene compiuta dal NT. Girolamo, ad esempio, vede nel Vangelo il compimento della promessa di Ger 31, 31 – 34.  Hartmut Gese, ordinario di AT a Tubingen, nel 1970 afferma che il NT è il compimento del telos (finalismo) che attraversa il dinamismo anticotestamentario, permettendo di comprenderlo nella sua propria natura. Anche Agostino ha una felice affermazione di questo tipo quando sintetizza: “ Il NT è nascosto nell’AT e l’AT diventa chiaro nel NT” ( cfr. Queast. In Hept., 2, 73; citato da DV 16). Tuttavia questo modello può essere “banalizzato”, quando si pensa il compimento come un completamento, come se dall’AT al NT ci sia un semplice passaggio dal meno al più, in cui il più contiene tutto il meno e lo rende perciò superfluo. In realtà il compimento del NT non rende superflua la promessa dell’AT, perché questa promessa è ancora valida e da compiersi definitivamente alla fine della storia, quando anche il compimento del mistero di Cristo nel NT sarà pienamente realizzato con il suo ritorno (cfr. Il popolo ebraico e le sue sacre Scritture nella Bibbia cristiana. Documento della Pontificia Commissione Biblica n 21 ultimo capoverso.)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 Vediamo più nel dettaglio.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Ger 31, 31 – 34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iCs/>
          <w:sz w:val="24"/>
          <w:szCs w:val="24"/>
          <w:vertAlign w:val="superscript"/>
        </w:rPr>
        <w:t>31</w:t>
      </w:r>
      <w:r w:rsidRPr="005607CC">
        <w:rPr>
          <w:rFonts w:ascii="Times New Roman" w:eastAsia="Calibri" w:hAnsi="Times New Roman" w:cs="Times New Roman"/>
          <w:iCs/>
          <w:sz w:val="24"/>
          <w:szCs w:val="24"/>
        </w:rPr>
        <w:t>Ecco, verranno giorni - oracolo del Signore -, nei quali con la casa d'Israele e con la casa di Giuda concluderò un'alleanza nuova. </w:t>
      </w:r>
      <w:r w:rsidRPr="005607CC">
        <w:rPr>
          <w:rFonts w:ascii="Times New Roman" w:eastAsia="Calibri" w:hAnsi="Times New Roman" w:cs="Times New Roman"/>
          <w:iCs/>
          <w:sz w:val="24"/>
          <w:szCs w:val="24"/>
          <w:vertAlign w:val="superscript"/>
        </w:rPr>
        <w:t>32</w:t>
      </w:r>
      <w:r w:rsidRPr="005607CC">
        <w:rPr>
          <w:rFonts w:ascii="Times New Roman" w:eastAsia="Calibri" w:hAnsi="Times New Roman" w:cs="Times New Roman"/>
          <w:iCs/>
          <w:sz w:val="24"/>
          <w:szCs w:val="24"/>
        </w:rPr>
        <w:t>Non sarà come l'alleanza che ho concluso con i loro padri, quando li presi per mano per farli uscire dalla terra d'Egitto, alleanza che essi hanno infranto, benché io fossi loro Signore. Oracolo del Signore. </w:t>
      </w:r>
      <w:r w:rsidRPr="005607CC">
        <w:rPr>
          <w:rFonts w:ascii="Times New Roman" w:eastAsia="Calibri" w:hAnsi="Times New Roman" w:cs="Times New Roman"/>
          <w:iCs/>
          <w:sz w:val="24"/>
          <w:szCs w:val="24"/>
          <w:vertAlign w:val="superscript"/>
        </w:rPr>
        <w:t>33</w:t>
      </w:r>
      <w:r w:rsidRPr="005607CC">
        <w:rPr>
          <w:rFonts w:ascii="Times New Roman" w:eastAsia="Calibri" w:hAnsi="Times New Roman" w:cs="Times New Roman"/>
          <w:iCs/>
          <w:sz w:val="24"/>
          <w:szCs w:val="24"/>
        </w:rPr>
        <w:t>Questa sarà l'alleanza che concluderò con la casa d'Israele dopo quei giorni - oracolo del Signore -: porrò la mia legge dentro di loro, la scriverò sul loro cuore. Allora io sarò il loro Dio ed essi saranno il mio popolo.</w:t>
      </w:r>
      <w:r w:rsidRPr="005607CC">
        <w:rPr>
          <w:rFonts w:ascii="Times New Roman" w:eastAsia="Calibri" w:hAnsi="Times New Roman" w:cs="Times New Roman"/>
          <w:iCs/>
          <w:sz w:val="24"/>
          <w:szCs w:val="24"/>
          <w:vertAlign w:val="superscript"/>
        </w:rPr>
        <w:t>34</w:t>
      </w:r>
      <w:r w:rsidRPr="005607CC">
        <w:rPr>
          <w:rFonts w:ascii="Times New Roman" w:eastAsia="Calibri" w:hAnsi="Times New Roman" w:cs="Times New Roman"/>
          <w:iCs/>
          <w:sz w:val="24"/>
          <w:szCs w:val="24"/>
        </w:rPr>
        <w:t>Non dovranno più istruirsi l'un l'altro, dicendo: «Conoscete il Signore», perché tutti mi conosceranno, dal più piccolo al più grande - oracolo del Signore -, poiché io perdonerò la loro iniquità e non ricorderò più il loro peccato».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Schema: annuncio v. 31</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Descrizione dell’alleanza nuova:</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a. in termini negativi ( v. 32 )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b. in termini positivi ( vv. 33 – 34 )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Alleanza: tyrB berit, il termine di per se non indica un patto bilaterale, ma la promessa di uno dei contraenti nei confronti dell’altro (cfr. Gen 15, 18), che dunque assume un obbligo. Nel brano di </w:t>
      </w:r>
      <w:r w:rsidRPr="005607CC">
        <w:rPr>
          <w:rFonts w:ascii="Times New Roman" w:eastAsia="Calibri" w:hAnsi="Times New Roman" w:cs="Times New Roman"/>
          <w:sz w:val="24"/>
          <w:szCs w:val="24"/>
        </w:rPr>
        <w:lastRenderedPageBreak/>
        <w:t xml:space="preserve">Geremia in esame questo significato è molto chiaro, Dio si impegna nei confronti del suo popolo senza chiedergli alcuna contropartita.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Questa alleanza è detta nuova (cfr. Dt 30, 1 – 14; Ger 24, 6 – 7; Ez 11, 17 – 20; 36, 26 dove si parla di cuore nuovo). Si confronti anche Es 34, 10 dove si trova il rinnovamento dell’alleanza sinaitica, dopo il peccato del vitello d’oro.  Qui l’alleanza avviene subito dopo l’infrazione e le leggi sono riscritte. Fin dall’inizio dunque al centro non è l’agire dell’uomo, ma la promessa di Dio che si rinnova senza revocare quella precedente.</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Quindi alleanza nuova può indicare non la sostituzione di un’alleanza con un’altra ma il rinnovamento della stessa alleanza su basi più solide, che rendano possibile anche la fedeltà dell’uomo. Qui la pietra è sostituita dal cuore, nel senso che la legge di Dio è scritta all’interno della volontà e dell’intelligenza dell’uomo perché egli cooperi con il volere di Dio.  In questo senso il Signore circonciderà il cuore dell’uomo (cfr. Dt 30, 6), perché egli possa amare Dio con tutto il cuore (cfr. Dt 6, 6). Qui tutti lo conosceranno dal più piccolo al più grande e non ci sarà più bisogno di mediatori, dal momento che il rapporto tra Dio e il suo popolo avviene direttamente nel cuore di ogni uomo.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Dove si compie questa promessa di una nuova alleanza?  Nel NT  troviamo quattro racconti dell’istituzione dell’eucarestia ( Mc 14, 22 – 25; Mt 26, 26 – 29; Lc 22, 15 – 20; 1 Cor 11, 23 – 26 ). Lc e Paolo fanno riferimento alla nuova alleanza di Ger </w:t>
      </w:r>
      <w:smartTag w:uri="urn:schemas-microsoft-com:office:smarttags" w:element="metricconverter">
        <w:smartTagPr>
          <w:attr w:name="ProductID" w:val="31. In"/>
        </w:smartTagPr>
        <w:r w:rsidRPr="005607CC">
          <w:rPr>
            <w:rFonts w:ascii="Times New Roman" w:eastAsia="Calibri" w:hAnsi="Times New Roman" w:cs="Times New Roman"/>
            <w:sz w:val="24"/>
            <w:szCs w:val="24"/>
          </w:rPr>
          <w:t>31. In</w:t>
        </w:r>
      </w:smartTag>
      <w:r w:rsidRPr="005607CC">
        <w:rPr>
          <w:rFonts w:ascii="Times New Roman" w:eastAsia="Calibri" w:hAnsi="Times New Roman" w:cs="Times New Roman"/>
          <w:sz w:val="24"/>
          <w:szCs w:val="24"/>
        </w:rPr>
        <w:t xml:space="preserve"> questo contesto la passione e morte di Gesù in Croce è vista non come il fallimento definitivo dell’uomo rifiutato da Dio e dagli uomini ma viene reinterpretata alla luce del dono che Gesù fa di se nel suo corpo e nel suo sangue, come una nuova alleanza, che comporta perdono e riconciliazione, fedeltà da parte dell’uomo e il dono di una nuova intimità tra Dio e gli uomini.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Tuttavia questo compimento della promessa deve ancora ottenere la sua ultima realizzazione nel banchetto eterno (cfr. loghion sul banchetto escatologico Mc 14, 25; Lc 22, 18).  Il compimento della nuova alleanza di Geremia non può essere visto semplicisticamente come già avvenuto nel NT, ma come un dinamismo che si compirà solo alla fine dei tempi. Dunque la promessa contenuta nell’AT è tutt’ora in vigore.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b/>
          <w:sz w:val="24"/>
          <w:szCs w:val="24"/>
        </w:rPr>
        <w:t>Modello della simultaneità o  dialogico</w:t>
      </w:r>
      <w:r w:rsidRPr="005607CC">
        <w:rPr>
          <w:rFonts w:ascii="Times New Roman" w:eastAsia="Calibri" w:hAnsi="Times New Roman" w:cs="Times New Roman"/>
          <w:sz w:val="24"/>
          <w:szCs w:val="24"/>
        </w:rPr>
        <w:t>:  Si parte dall’analisi di Rm 9 – 11, da cui abbiamo iniziato la nostra argomentazione. Il ragionamento di Paolo nasce dalla necessità di comprendere come mai è avvenuto il rifiuto di una parte di Israele. Forse la parola di Dio è venuta meno?</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Prima argomentazione 9, 6 – 29: la parola di Dio non è venuta meno perché non tutti i discendenti di Giacobbe sono Israele. Egli è libero di chiamare chi vuole, così come chiama il figlio minore ( Giacobbe) al posto del maggiore (Esaù).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Seconda argomentazione 9, 30 – 10, 21:  la giustizia richiesta dalla legge ha raggiunto il suo scopo in Cristo. Una parte di Israele non ha raggiunto la giustizia perché l’ha cercata non per mezzo della fede in Cristo ma per mezzo delle opere della Legge.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Terza argomentazione 11, 1 – 32: Dio ha allora forse ripudiato il suo popolo?  No, ma l’indurimento di una parte di Israele ha la funzione di far entrare i pagani.  Tuttavia la piena realizzazione della promessa di Dio si avrà quando anche tutto Israele sarà salvato (cfr. v. 26). </w:t>
      </w:r>
    </w:p>
    <w:p w:rsidR="005607CC" w:rsidRPr="005607CC" w:rsidRDefault="005607CC" w:rsidP="005607CC">
      <w:pPr>
        <w:spacing w:after="0" w:line="320" w:lineRule="exact"/>
        <w:jc w:val="both"/>
        <w:rPr>
          <w:rFonts w:ascii="Times New Roman" w:eastAsia="Calibri" w:hAnsi="Times New Roman" w:cs="Times New Roman"/>
          <w:sz w:val="24"/>
          <w:szCs w:val="24"/>
        </w:rPr>
      </w:pP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lastRenderedPageBreak/>
        <w:t xml:space="preserve">La relazione tra Israele e le nazioni non è semplicemente binaria ma ternaria.  Infatti l’olivo e l’olivastro non sono semplicemente uno dopo l’altro, ma uno nell’altro, e ciò che li tiene insieme è la promessa con il suo compimento, Cristo. Tra Israele e i pagani instaura una competizione che Paolo considera positiva alla luce del progetto di Dio: infatti la gelosia di Israele è per la sua salvezza (cfr. 11, 11) e mostra la transizione da un desiderio conflittuale, che spinge al conflitto con le nazioni e alla reciproca sostituzione, ad un desiderio positivo per il quale Israele e le nazioni non possono possedere il loro oggetto, la salvezza, se non insieme. E questo avverrà definitivamente solo alla fine della storia. </w:t>
      </w:r>
    </w:p>
    <w:p w:rsidR="005607CC" w:rsidRPr="005607CC" w:rsidRDefault="005607CC" w:rsidP="005607CC">
      <w:pPr>
        <w:spacing w:after="200" w:line="320" w:lineRule="exact"/>
        <w:jc w:val="both"/>
        <w:rPr>
          <w:rFonts w:ascii="Times New Roman" w:eastAsia="Calibri" w:hAnsi="Times New Roman" w:cs="Times New Roman"/>
          <w:sz w:val="24"/>
          <w:szCs w:val="24"/>
        </w:rPr>
      </w:pPr>
      <w:r w:rsidRPr="005607CC">
        <w:rPr>
          <w:rFonts w:ascii="Times New Roman" w:eastAsia="Calibri" w:hAnsi="Times New Roman" w:cs="Times New Roman"/>
          <w:sz w:val="24"/>
          <w:szCs w:val="24"/>
        </w:rPr>
        <w:t xml:space="preserve">L’uno e l’altro testamento non sono in una posizione di rivalità, essi non posseggono il loro oggetto, che è Cristo, se non insieme. Questo significa che il compimento dell’AT è nel NT, solo nel senso che entrambi si compiono simultaneamente in Cristo, colui che viene a noi al termine della storia. </w:t>
      </w:r>
    </w:p>
    <w:p w:rsidR="005607CC" w:rsidRDefault="005607CC">
      <w:bookmarkStart w:id="6" w:name="_GoBack"/>
      <w:bookmarkEnd w:id="6"/>
    </w:p>
    <w:sectPr w:rsidR="005607C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7CC"/>
    <w:rsid w:val="00271F08"/>
    <w:rsid w:val="003462C7"/>
    <w:rsid w:val="005607CC"/>
    <w:rsid w:val="0065521A"/>
    <w:rsid w:val="00716F8D"/>
    <w:rsid w:val="00796954"/>
    <w:rsid w:val="00DA19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9945A38-C59F-434F-AA18-00FD49645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4227</Words>
  <Characters>24094</Characters>
  <Application>Microsoft Office Word</Application>
  <DocSecurity>0</DocSecurity>
  <Lines>200</Lines>
  <Paragraphs>56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cp:revision>
  <dcterms:created xsi:type="dcterms:W3CDTF">2015-10-28T16:11:00Z</dcterms:created>
  <dcterms:modified xsi:type="dcterms:W3CDTF">2015-10-28T16:13:00Z</dcterms:modified>
</cp:coreProperties>
</file>