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0AC" w:rsidRPr="00F340AC" w:rsidRDefault="00F340AC" w:rsidP="00F340AC">
      <w:pPr>
        <w:keepNext/>
        <w:keepLines/>
        <w:spacing w:before="240" w:after="0" w:line="320" w:lineRule="exact"/>
        <w:outlineLvl w:val="0"/>
        <w:rPr>
          <w:rFonts w:ascii="Times New Roman" w:eastAsia="Times New Roman" w:hAnsi="Times New Roman" w:cs="Times New Roman"/>
          <w:b/>
          <w:sz w:val="28"/>
          <w:szCs w:val="28"/>
        </w:rPr>
      </w:pPr>
      <w:r w:rsidRPr="00F340AC">
        <w:rPr>
          <w:rFonts w:ascii="Times New Roman" w:eastAsia="Times New Roman" w:hAnsi="Times New Roman" w:cs="Times New Roman"/>
          <w:b/>
          <w:sz w:val="28"/>
          <w:szCs w:val="28"/>
        </w:rPr>
        <w:t>. COMMENTO A DEI VERBUM 15: FIGURA CHRISTI</w:t>
      </w:r>
    </w:p>
    <w:p w:rsidR="00F340AC" w:rsidRPr="00F340AC" w:rsidRDefault="00F340AC" w:rsidP="00F340AC">
      <w:pPr>
        <w:keepNext/>
        <w:keepLines/>
        <w:spacing w:before="160" w:after="0" w:line="276" w:lineRule="auto"/>
        <w:rPr>
          <w:rFonts w:ascii="Times New Roman" w:eastAsia="Calibri" w:hAnsi="Times New Roman" w:cs="Times New Roman"/>
          <w:b/>
          <w:sz w:val="26"/>
          <w:szCs w:val="26"/>
        </w:rPr>
      </w:pPr>
      <w:bookmarkStart w:id="0" w:name="_Toc374449815"/>
      <w:bookmarkStart w:id="1" w:name="_Toc374449814"/>
      <w:r w:rsidRPr="00F340AC">
        <w:rPr>
          <w:rFonts w:ascii="Times New Roman" w:eastAsia="Calibri" w:hAnsi="Times New Roman" w:cs="Times New Roman"/>
          <w:b/>
          <w:sz w:val="26"/>
          <w:szCs w:val="26"/>
        </w:rPr>
        <w:t>DEI VERBUM 15</w:t>
      </w:r>
      <w:bookmarkEnd w:id="0"/>
    </w:p>
    <w:p w:rsidR="00F340AC" w:rsidRPr="00F340AC" w:rsidRDefault="00F340AC" w:rsidP="00F340AC">
      <w:pPr>
        <w:spacing w:before="120" w:after="120" w:line="240" w:lineRule="auto"/>
        <w:ind w:left="567" w:right="567"/>
        <w:jc w:val="both"/>
        <w:rPr>
          <w:rFonts w:ascii="Times New Roman" w:eastAsia="Calibri" w:hAnsi="Times New Roman" w:cs="Times New Roman"/>
          <w:i/>
          <w:sz w:val="24"/>
          <w:szCs w:val="24"/>
        </w:rPr>
      </w:pPr>
      <w:smartTag w:uri="urn:schemas-microsoft-com:office:smarttags" w:element="metricconverter">
        <w:smartTagPr>
          <w:attr w:name="ProductID" w:val="15. L"/>
        </w:smartTagPr>
        <w:r w:rsidRPr="00F340AC">
          <w:rPr>
            <w:rFonts w:ascii="Times New Roman" w:eastAsia="Calibri" w:hAnsi="Times New Roman" w:cs="Times New Roman"/>
            <w:i/>
            <w:sz w:val="24"/>
            <w:szCs w:val="24"/>
          </w:rPr>
          <w:t>15. L</w:t>
        </w:r>
      </w:smartTag>
      <w:r w:rsidRPr="00F340AC">
        <w:rPr>
          <w:rFonts w:ascii="Times New Roman" w:eastAsia="Calibri" w:hAnsi="Times New Roman" w:cs="Times New Roman"/>
          <w:i/>
          <w:sz w:val="24"/>
          <w:szCs w:val="24"/>
        </w:rPr>
        <w:t xml:space="preserve">'economia del Vecchio Testamento era soprattutto ordinata a preparare, ad annunziare profeticamente (cfr. Lc 24,44; Gv 5,39; </w:t>
      </w:r>
      <w:smartTag w:uri="urn:schemas-microsoft-com:office:smarttags" w:element="metricconverter">
        <w:smartTagPr>
          <w:attr w:name="ProductID" w:val="1 Pt"/>
        </w:smartTagPr>
        <w:r w:rsidRPr="00F340AC">
          <w:rPr>
            <w:rFonts w:ascii="Times New Roman" w:eastAsia="Calibri" w:hAnsi="Times New Roman" w:cs="Times New Roman"/>
            <w:i/>
            <w:sz w:val="24"/>
            <w:szCs w:val="24"/>
          </w:rPr>
          <w:t>1 Pt</w:t>
        </w:r>
      </w:smartTag>
      <w:r w:rsidRPr="00F340AC">
        <w:rPr>
          <w:rFonts w:ascii="Times New Roman" w:eastAsia="Calibri" w:hAnsi="Times New Roman" w:cs="Times New Roman"/>
          <w:i/>
          <w:sz w:val="24"/>
          <w:szCs w:val="24"/>
        </w:rPr>
        <w:t xml:space="preserve"> 1,10) e a significare con diverse figure (cfr. 1 Cor 10,11) l'avvento di Cristo redentore dell'universo e del regno messianico. I libri poi del Vecchio Testamento, tenuto conto della condizione del genere umano prima dei tempi della salvezza instaurata da Cristo, manifestano a tutti chi è Dio e chi è l'uomo e il modo con cui Dio giusto e misericordioso agisce con gli uomini. Questi libri, sebbene contengano cose imperfette e caduche, dimostrano tuttavia una vera pedagogia divina (28). Quindi i cristiani devono ricevere con devozione questi libri: in essi si esprime un vivo senso di Dio; in essi sono racchiusi sublimi insegnamenti su Dio, una sapienza salutare per la vita dell'uomo e mirabili tesori di preghiere; in essi infine è nascosto il mistero della nostra salvezza.</w:t>
      </w:r>
    </w:p>
    <w:p w:rsidR="00F340AC" w:rsidRPr="00F340AC" w:rsidRDefault="00F340AC" w:rsidP="00F340AC">
      <w:pPr>
        <w:spacing w:after="0" w:line="320" w:lineRule="exact"/>
        <w:jc w:val="both"/>
        <w:rPr>
          <w:rFonts w:ascii="Times New Roman" w:eastAsia="Calibri" w:hAnsi="Times New Roman" w:cs="Times New Roman"/>
          <w:sz w:val="24"/>
          <w:szCs w:val="24"/>
        </w:rPr>
      </w:pPr>
    </w:p>
    <w:p w:rsidR="00F340AC" w:rsidRPr="00F340AC" w:rsidRDefault="00F340AC" w:rsidP="00F340AC">
      <w:pPr>
        <w:spacing w:after="0" w:line="320" w:lineRule="exact"/>
        <w:jc w:val="both"/>
        <w:rPr>
          <w:rFonts w:ascii="Times New Roman" w:eastAsia="Calibri" w:hAnsi="Times New Roman" w:cs="Times New Roman"/>
          <w:sz w:val="24"/>
          <w:szCs w:val="24"/>
        </w:rPr>
      </w:pPr>
    </w:p>
    <w:p w:rsidR="00F340AC" w:rsidRPr="00F340AC" w:rsidRDefault="00F340AC" w:rsidP="00F340AC">
      <w:pPr>
        <w:keepNext/>
        <w:keepLines/>
        <w:spacing w:before="200" w:after="120" w:line="320" w:lineRule="exact"/>
        <w:outlineLvl w:val="1"/>
        <w:rPr>
          <w:rFonts w:ascii="Times New Roman" w:eastAsia="Times New Roman" w:hAnsi="Times New Roman" w:cs="Times New Roman"/>
          <w:b/>
          <w:bCs/>
          <w:i/>
          <w:sz w:val="24"/>
          <w:szCs w:val="26"/>
        </w:rPr>
      </w:pPr>
      <w:bookmarkStart w:id="2" w:name="_Toc406063147"/>
      <w:r w:rsidRPr="00F340AC">
        <w:rPr>
          <w:rFonts w:ascii="Times New Roman" w:eastAsia="Times New Roman" w:hAnsi="Times New Roman" w:cs="Times New Roman"/>
          <w:b/>
          <w:bCs/>
          <w:i/>
          <w:sz w:val="26"/>
          <w:szCs w:val="26"/>
        </w:rPr>
        <w:t>5.1. Gn 6, 1 – 22: la giustizia di dio e l’obbedienza del servo</w:t>
      </w:r>
      <w:bookmarkEnd w:id="1"/>
      <w:bookmarkEnd w:id="2"/>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1Quando gli uomini cominciarono a moltiplicarsi sulla terra e nacquero loro delle figlie, 2i figli di Dio videro che le figlie degli uomini erano belle e ne presero per mogli a loro scelta. 3Allora il Signore disse: «Il mio spirito non resterà sempre nell'uomo, perché egli è carne e la sua vita sarà di centoventi anni».</w:t>
      </w:r>
    </w:p>
    <w:p w:rsidR="00F340AC" w:rsidRPr="00F340AC" w:rsidRDefault="00F340AC" w:rsidP="00F340AC">
      <w:pPr>
        <w:spacing w:after="200" w:line="320" w:lineRule="exact"/>
        <w:jc w:val="both"/>
        <w:rPr>
          <w:rFonts w:ascii="Times New Roman" w:eastAsia="Calibri" w:hAnsi="Times New Roman" w:cs="Times New Roman"/>
          <w:sz w:val="24"/>
          <w:szCs w:val="24"/>
        </w:rPr>
      </w:pPr>
      <w:smartTag w:uri="urn:schemas-microsoft-com:office:smarttags" w:element="metricconverter">
        <w:smartTagPr>
          <w:attr w:name="ProductID" w:val="4C"/>
        </w:smartTagPr>
        <w:r w:rsidRPr="00F340AC">
          <w:rPr>
            <w:rFonts w:ascii="Times New Roman" w:eastAsia="Calibri" w:hAnsi="Times New Roman" w:cs="Times New Roman"/>
            <w:sz w:val="24"/>
            <w:szCs w:val="24"/>
          </w:rPr>
          <w:t>4C</w:t>
        </w:r>
      </w:smartTag>
      <w:r w:rsidRPr="00F340AC">
        <w:rPr>
          <w:rFonts w:ascii="Times New Roman" w:eastAsia="Calibri" w:hAnsi="Times New Roman" w:cs="Times New Roman"/>
          <w:sz w:val="24"/>
          <w:szCs w:val="24"/>
        </w:rPr>
        <w:t>'erano sulla terra i giganti a quei tempi - e anche dopo -, quando i figli di Dio si univano alle figlie degli uomini e queste partorivano loro dei figli: sono questi gli eroi dell'antichità, uomini famosi.</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5Il Signore vide che la malvagità degli uomini era grande sulla terra e che ogni intimo intento del loro cuore non era altro che male, sempre. 6E il Signore si pentì di aver fatto l'uomo sulla terra e se ne addolorò in cuor suo. 7Il Signore disse: «Cancellerò dalla faccia della terra l'uomo che ho creato e, con l'uomo, anche il bestiame e i rettili e gli uccelli del cielo, perché sono pentito di averli fatti». 8Ma Noè trovò grazia agli occhi del Signore.</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 xml:space="preserve">9Questa è la discendenza di Noè. Noè era uomo giusto e integro tra i suoi contemporanei e camminava con Dio. 10Noè generò tre figli: Sem, Cam e Iafet. 11Ma la terra era corrotta davanti a Dio e piena di violenza. 12Dio guardò la terra ed ecco, essa era corrotta, perché ogni uomo </w:t>
      </w:r>
      <w:r w:rsidRPr="00F340AC">
        <w:rPr>
          <w:rFonts w:ascii="Times New Roman" w:eastAsia="Calibri" w:hAnsi="Times New Roman" w:cs="Times New Roman"/>
          <w:b/>
          <w:sz w:val="24"/>
          <w:szCs w:val="24"/>
        </w:rPr>
        <w:t>aveva pervertito (sht)</w:t>
      </w:r>
      <w:r w:rsidRPr="00F340AC">
        <w:rPr>
          <w:rFonts w:ascii="Times New Roman" w:eastAsia="Calibri" w:hAnsi="Times New Roman" w:cs="Times New Roman"/>
          <w:sz w:val="24"/>
          <w:szCs w:val="24"/>
        </w:rPr>
        <w:t xml:space="preserve"> la sua condotta sulla terra. 13Allora Dio disse a Noè: «È venuta per me la fine di ogni uomo, perché la terra, per causa loro, è piena di violenza; ecco, </w:t>
      </w:r>
      <w:r w:rsidRPr="00F340AC">
        <w:rPr>
          <w:rFonts w:ascii="Times New Roman" w:eastAsia="Calibri" w:hAnsi="Times New Roman" w:cs="Times New Roman"/>
          <w:b/>
          <w:sz w:val="24"/>
          <w:szCs w:val="24"/>
        </w:rPr>
        <w:t>io li distruggerò (sht)</w:t>
      </w:r>
      <w:r w:rsidRPr="00F340AC">
        <w:rPr>
          <w:rFonts w:ascii="Times New Roman" w:eastAsia="Calibri" w:hAnsi="Times New Roman" w:cs="Times New Roman"/>
          <w:sz w:val="24"/>
          <w:szCs w:val="24"/>
        </w:rPr>
        <w:t xml:space="preserve"> insieme con la terra. 14Fatti un'arca di legno di cipresso; dividerai l'arca in scompartimenti e la spalmerai di bitume dentro e fuori. 15Ecco come devi farla: l'arca avrà trecento cubiti di lunghezza, cinquanta di larghezza e trenta di altezza. 16Farai nell'arca un tetto e, a un cubito più sopra, la terminerai; da un lato metterai la porta dell'arca. La farai a piani: inferiore, medio e superiore.</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 xml:space="preserve">17Ecco, io sto per mandare il diluvio, cioè le acque, sulla terra, per distruggere sotto il cielo ogni carne in cui c'è soffio di vita; quanto è sulla terra perirà. 18Ma con te io stabilisco la mia alleanza. Entrerai nell'arca tu e con te i tuoi figli, tua moglie e le mogli dei tuoi figli. 19Di quanto vive, di ogni carne, introdurrai nell'arca due di ogni specie, per conservarli in vita con te: siano maschio e femmina. </w:t>
      </w:r>
      <w:r w:rsidRPr="00F340AC">
        <w:rPr>
          <w:rFonts w:ascii="Times New Roman" w:eastAsia="Calibri" w:hAnsi="Times New Roman" w:cs="Times New Roman"/>
          <w:sz w:val="24"/>
          <w:szCs w:val="24"/>
        </w:rPr>
        <w:lastRenderedPageBreak/>
        <w:t>20Degli uccelli, secondo la loro specie, del bestiame, secondo la propria specie, e di tutti i rettili del suolo, secondo la loro specie, due di ognuna verranno con te, per essere conservati in vita. 21Quanto a te, prenditi ogni sorta di cibo da mangiare e fanne provvista: sarà di nutrimento per te e per loro».</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22Noè eseguì ogni cosa come Dio gli aveva comandato: così fece.</w:t>
      </w:r>
    </w:p>
    <w:p w:rsidR="00F340AC" w:rsidRPr="00F340AC" w:rsidRDefault="00F340AC" w:rsidP="00F340AC">
      <w:pPr>
        <w:spacing w:after="0" w:line="320" w:lineRule="exact"/>
        <w:jc w:val="both"/>
        <w:rPr>
          <w:rFonts w:ascii="Times New Roman" w:eastAsia="Calibri" w:hAnsi="Times New Roman" w:cs="Times New Roman"/>
          <w:sz w:val="24"/>
          <w:szCs w:val="24"/>
        </w:rPr>
      </w:pP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 xml:space="preserve">Il racconto di Noè e del diluvio in Genesi rielabora temi antichissimi presenti in molte letterature del medio oriente antico e dei popoli del mediterraneo. L’autore sacro reinterpreta questo tema che gli è pervenuto dalle sapienze dei popoli vicini alla luce della particolare esperienza del Dio di Israele. Come funziona la giustizia di Dio e come è possibile all’uomo il riscatto da una situazione definitivamente compromessa dal peccato e dall’escalation della violenza? A partire dal peccato di Adamo ed Eva (Gen 3) si è prodotta un’escalation di violenza che ha coinvolto due fratelli (Caino e Abele in Gn 4), per concludersi in una spirale di vendette senza possibilità di uscita ( cfr. canto di Lamech in Gn 5, 23 – 24). La storia umana, appena iniziata, è subito spinta alla sua distruzione da un vettore di declino e violenza che sembra senza possibilità di rimedio. In questo senso è la stessa colpa e violenza umana a condurre l’uomo verso la sua distruzione. Come Dio si pone di fronte a questa messa in discussione del suo progetto di creazione?  </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In 6, 11 si dice che: “la terra era corrotta (š</w:t>
      </w:r>
      <w:r w:rsidRPr="00F340AC">
        <w:rPr>
          <w:rFonts w:ascii="Tahoma" w:eastAsia="Calibri" w:hAnsi="Tahoma" w:cs="Tahoma"/>
          <w:sz w:val="24"/>
          <w:szCs w:val="24"/>
        </w:rPr>
        <w:t>ḥ</w:t>
      </w:r>
      <w:r w:rsidRPr="00F340AC">
        <w:rPr>
          <w:rFonts w:ascii="Times New Roman" w:eastAsia="Calibri" w:hAnsi="Times New Roman" w:cs="Times New Roman"/>
          <w:sz w:val="24"/>
          <w:szCs w:val="24"/>
        </w:rPr>
        <w:t>t) davanti a Dio e piena di violenza”. In 6, 13 segue subito la decisione di Dio: “ecco io li distruggerò (š</w:t>
      </w:r>
      <w:r w:rsidRPr="00F340AC">
        <w:rPr>
          <w:rFonts w:ascii="Tahoma" w:eastAsia="Calibri" w:hAnsi="Tahoma" w:cs="Tahoma"/>
          <w:sz w:val="24"/>
          <w:szCs w:val="24"/>
        </w:rPr>
        <w:t>ḥ</w:t>
      </w:r>
      <w:r w:rsidRPr="00F340AC">
        <w:rPr>
          <w:rFonts w:ascii="Times New Roman" w:eastAsia="Calibri" w:hAnsi="Times New Roman" w:cs="Times New Roman"/>
          <w:sz w:val="24"/>
          <w:szCs w:val="24"/>
        </w:rPr>
        <w:t>t)  insieme con la terra”.</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 xml:space="preserve">La ripresa della medesima radice verbale non è casuale, ma voluta dall’autore. Qui si vuol mostrare il senso profondo della giustizia di Dio, che non è punizione arbitraria, ma manifestazione delle conseguenze del peccato sull’umanità.  Dio non sta distruggendo l’umanità per un gusto sadico, né perchè giudice inflessibile, ma intende semplicemente rendere manifesta una corruzione, una distruzione, una morte, che l’umanità si era già autoinflitta (cfr. Ger 2, 30; 5, 25 - 31). Questa riflessione nasce dalla predicazione profetica. Essa infatti mostra un popolo che con il peccato si esclude dal rapporto vitale con il suo Dio e che per conseguenza subisce il castigo dell’invasione straniera e dell’esilio. </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 xml:space="preserve">Il peccato e la violenza che corrompono il progetto creatore di Dio consistono nel rifiuto della differenza, anzitutto quella tra Dio e l’uomo (cfr. 6, 1 – 4). Dio con il diluvio intende manifestare proprio questa radice profonda, anticreazionale, del peccato dell’uomo. Infatti il diluvio, permesso da Dio, non è altro che lo scatenarsi delle forze anticreazionali messe in certo modo in movimento dalla violenza umana poiché, nella concezione di Gen 1 la separazione delle acque superiori da quelle inferiori costituisce l’opera del secondo giorno della creazione, presupposto per l’emersione della terra, e il diluvio finisce per ricongiungerle compromettendo fatalmente la vita sulla terra.  Se Dio crea separando, il diluvio distrugge ricongiungendo ed eliminando le differenze della creazione, così come il male aveva già operato, mettendo a rischio la differenza tra Dio e uomo (Gen 3, 22) e tra i fratelli (Gen 4). </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 xml:space="preserve">La sapienza dell’autore biblico mostra però che mentre è in atto la linea del giudizio divino, la linea della misericordia e dell’alleanza non si interrompe, ma viene ristabilita attraverso l’obbedienza del servo Noè.  I dettagli costruttivi dell’arca (cfr. 6, 14 – 16), minuti e complessi, sono funzionali dal punto di vista narrativo a sottolineare l’obbedienza puntuale di Noè al comandamento divino. L’arca </w:t>
      </w:r>
      <w:r w:rsidRPr="00F340AC">
        <w:rPr>
          <w:rFonts w:ascii="Times New Roman" w:eastAsia="Calibri" w:hAnsi="Times New Roman" w:cs="Times New Roman"/>
          <w:sz w:val="24"/>
          <w:szCs w:val="24"/>
        </w:rPr>
        <w:lastRenderedPageBreak/>
        <w:t xml:space="preserve">diviene il contenitore di una nuova creazione, dove la divisione secondo le specie e la specificazione della reciprocità del maschile e femminile, si riferiscono chiaramente al racconto di Gen 1.  L’arca è il microcosmo di una nuova creazione che avviene grazie all’obbedienza del servo. Tale ri - creazione è dunque resa possibile dall’alleanza (berit ) che Dio rinnova con il suo servo e la nuova creazione porta con se un ristabilimento della differenza creatrice, quella dell’umanità con Dio, del cielo e della terra e delle creature tra loro, secondo le loro specie.   Al c. 9 la benedizione di Dio su Noè ha i tratti della benedizione originale su Adamo ed Eva (cfr. Gen 9, 1a). Ma ci sono dei dettagli aggiuntivi. La paura di ogni essere vivente nei confronti dell’uomo.  La concessione data all’uomo di mangiare carne, senza sangue. La minaccia giuridica relativa all’omicidio. La nuova creazione è stata ristabilita ma la traccia del peccato rimane attraverso le indicazioni della legge, argine necessario e pur sempre parziale nei confronti dell’esplodere della violenza dell’uomo contro l’uomo. </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 xml:space="preserve">La formulazione ricorda la legge del taglione: “chi sparge il sangue dell’uomo, dall’uomo il suo sangue sarà sparso”. Nel vangelo di Matteo la stessa legge viene citata da Gesù quando impedisce a Pietro di vendicare l’arresto di Gesù e di rimettere la spada nel fodero (cfr. 26, 52).  Gesù riprende questa legge, per portarne a compimento il significato nascosto. Dio reagisce alla violenza dell’uomo con un’alleanza ancora più radicale, fondata su un bene e un amore senza condizioni, manifestati dal servo innocente. Gesù è il servo innocente il cui sangue è stato sparso (cfr. 27, 4) ma quel sangue, lungi dal gridare vendetta presso Dio, è il sangue attraverso cui si compie il perdono dei peccati (cfr. 26, 28).  Anche il popolo di Israele, peccatore, chiede che venga riversato su di lui il sangue innocente. Se dal punto di vista del personaggio “popolo” questo indica la piena responsabilità nella condanna di Gesù e dunque la piena manifestazione del peccato, dal punto di vista del lettore, che sa che il sangue di Gesù è versato per il perdono dei peccati, questa affermazione del popolo di Israele viene paradossalmente e ironicamente ribaltata nel suo significato. Non si tratta qui di punire il popolo di Israele, ma di un perdono incondizionato, offerto da Dio attraverso il sangue di Gesù. Al compimento della redenzione si ribalta il senso stesso della giustizia retributiva nella gratuità della redenzione. Qui il superamento della violenza è ormai definitivo e il progetto creativo di Dio si rivela come da sempre orientato al perdono e alla vita. La resurrezione è il sigillo della redenzione ed è una nuova creazione, con le relazioni di sponsalità e fraternità e genitorialità radicalmente rinnovate. L’incontro con Gesù risorto da parte delle donne (28, 8 – 10), la fraternità ritrovata con i discepoli (v. 10), il mandato missionario che renda possibile una nuova generazione di discepoli tra tutti i popoli (v. 16 – 20). </w:t>
      </w:r>
    </w:p>
    <w:p w:rsidR="00F340AC" w:rsidRPr="00F340AC" w:rsidRDefault="00F340AC" w:rsidP="00F340AC">
      <w:pPr>
        <w:spacing w:after="0" w:line="320" w:lineRule="exact"/>
        <w:jc w:val="both"/>
        <w:rPr>
          <w:rFonts w:ascii="Times New Roman" w:eastAsia="Calibri" w:hAnsi="Times New Roman" w:cs="Times New Roman"/>
          <w:sz w:val="24"/>
          <w:szCs w:val="24"/>
        </w:rPr>
      </w:pPr>
    </w:p>
    <w:p w:rsidR="00F340AC" w:rsidRPr="00F340AC" w:rsidRDefault="00F340AC" w:rsidP="00F340AC">
      <w:pPr>
        <w:spacing w:after="0" w:line="320" w:lineRule="exact"/>
        <w:jc w:val="both"/>
        <w:rPr>
          <w:rFonts w:ascii="Times New Roman" w:eastAsia="Calibri" w:hAnsi="Times New Roman" w:cs="Times New Roman"/>
          <w:sz w:val="24"/>
          <w:szCs w:val="24"/>
        </w:rPr>
      </w:pPr>
    </w:p>
    <w:p w:rsidR="00F340AC" w:rsidRPr="00F340AC" w:rsidRDefault="00F340AC" w:rsidP="00F340AC">
      <w:pPr>
        <w:keepNext/>
        <w:keepLines/>
        <w:spacing w:before="200" w:after="120" w:line="320" w:lineRule="exact"/>
        <w:outlineLvl w:val="1"/>
        <w:rPr>
          <w:rFonts w:ascii="Times New Roman" w:eastAsia="Times New Roman" w:hAnsi="Times New Roman" w:cs="Times New Roman"/>
          <w:b/>
          <w:bCs/>
          <w:i/>
          <w:sz w:val="26"/>
          <w:szCs w:val="26"/>
        </w:rPr>
      </w:pPr>
      <w:bookmarkStart w:id="3" w:name="_Toc374449817"/>
      <w:bookmarkStart w:id="4" w:name="_Toc406063148"/>
      <w:r w:rsidRPr="00F340AC">
        <w:rPr>
          <w:rFonts w:ascii="Times New Roman" w:eastAsia="Times New Roman" w:hAnsi="Times New Roman" w:cs="Times New Roman"/>
          <w:b/>
          <w:bCs/>
          <w:i/>
          <w:sz w:val="26"/>
          <w:szCs w:val="26"/>
        </w:rPr>
        <w:t>5. 2  Analisi narrativa</w:t>
      </w:r>
      <w:bookmarkStart w:id="5" w:name="_Toc374449818"/>
      <w:bookmarkEnd w:id="3"/>
      <w:r w:rsidRPr="00F340AC">
        <w:rPr>
          <w:rFonts w:ascii="Times New Roman" w:eastAsia="Times New Roman" w:hAnsi="Times New Roman" w:cs="Times New Roman"/>
          <w:b/>
          <w:bCs/>
          <w:i/>
          <w:sz w:val="26"/>
          <w:szCs w:val="26"/>
        </w:rPr>
        <w:t>.Commento a</w:t>
      </w:r>
      <w:r w:rsidRPr="00F340AC">
        <w:rPr>
          <w:rFonts w:ascii="Times New Roman" w:eastAsia="Times New Roman" w:hAnsi="Times New Roman" w:cs="Times New Roman"/>
          <w:b/>
          <w:bCs/>
          <w:i/>
          <w:sz w:val="32"/>
          <w:szCs w:val="26"/>
        </w:rPr>
        <w:t xml:space="preserve"> </w:t>
      </w:r>
      <w:r w:rsidRPr="00F340AC">
        <w:rPr>
          <w:rFonts w:ascii="Times New Roman" w:eastAsia="Times New Roman" w:hAnsi="Times New Roman" w:cs="Times New Roman"/>
          <w:b/>
          <w:bCs/>
          <w:i/>
          <w:sz w:val="26"/>
          <w:szCs w:val="26"/>
        </w:rPr>
        <w:t>Interpretazione della Bibbia nella Chiesa (P.C.B. 1993; 1281 – 1284 Enchiridium Biblicum 1305 - 1309).</w:t>
      </w:r>
      <w:bookmarkEnd w:id="4"/>
      <w:bookmarkEnd w:id="5"/>
      <w:r w:rsidRPr="00F340AC">
        <w:rPr>
          <w:rFonts w:ascii="Times New Roman" w:eastAsia="Times New Roman" w:hAnsi="Times New Roman" w:cs="Times New Roman"/>
          <w:b/>
          <w:bCs/>
          <w:i/>
          <w:sz w:val="24"/>
          <w:szCs w:val="26"/>
        </w:rPr>
        <w:t xml:space="preserve"> </w:t>
      </w:r>
    </w:p>
    <w:p w:rsidR="00F340AC" w:rsidRPr="00F340AC" w:rsidRDefault="00F340AC" w:rsidP="00F340AC">
      <w:pPr>
        <w:spacing w:after="200" w:line="320" w:lineRule="exact"/>
        <w:jc w:val="both"/>
        <w:rPr>
          <w:rFonts w:ascii="Times New Roman" w:eastAsia="Calibri" w:hAnsi="Times New Roman" w:cs="Times New Roman"/>
          <w:i/>
          <w:sz w:val="24"/>
          <w:szCs w:val="24"/>
        </w:rPr>
      </w:pPr>
      <w:r w:rsidRPr="00F340AC">
        <w:rPr>
          <w:rFonts w:ascii="Times New Roman" w:eastAsia="Calibri" w:hAnsi="Times New Roman" w:cs="Times New Roman"/>
          <w:i/>
          <w:sz w:val="24"/>
          <w:szCs w:val="24"/>
        </w:rPr>
        <w:t xml:space="preserve">L’esegesi narrativa propone un metodo di comprensione e di comunicazione del messaggio biblico che corrisponde alla forma del racconto e della testimonianza, modalità fondamentale della comunicazione tra persone umane, caratteristica anche della Sacra Scrittura. L’Antico Testamento, infatti, presenta una storia della salvezza il cui racconto efficace diventa sostanza della professione di fede, della liturgia e della catechesi (cf. Sal 78, 3-4; Es 12, 24-27; Dt 6, 20-25; 26, 5-10). Da parte sua, la proclamazione del kerigma cristiano comprende la sequenza narrativa della vita, della morte della risurrezione di Gesù Cristo, eventi di cui i vangeli ci offrono il racconto dettagliato. La </w:t>
      </w:r>
      <w:r w:rsidRPr="00F340AC">
        <w:rPr>
          <w:rFonts w:ascii="Times New Roman" w:eastAsia="Calibri" w:hAnsi="Times New Roman" w:cs="Times New Roman"/>
          <w:i/>
          <w:sz w:val="24"/>
          <w:szCs w:val="24"/>
        </w:rPr>
        <w:lastRenderedPageBreak/>
        <w:t xml:space="preserve">catechesi si presenta, anch’essa, sotto forma narrativa (cf. 1Cor 11, 23-25).   Riguardo all’approccio narrativo, è opportuno distinguere metodi di analisi e riflessione teologica.  Attualmente vengono proposti numerosi metodi di analisi. Alcuni partono dallo studio dei modelli narrativi antichi. Altri si basano sull’una o l’altra “narratologia” attuale, che può avere dei punti in comune con la semiotica. Particolarmente attenta agli elementi del testo che riguardano l’intreccio, i personaggi e il punto di vista del narratore, l’analisi narrativa studia il modo in cui la storia viene raccontata così da coinvolgere il lettore nel “mondo del racconto” e nel suo sistema di valori.   Parecchi metodi introducono una distinzione tra “autore reale” e “autore implicito”, “lettore reale” e “lettore implicito”. L’“autore reale” è la persona che ha composto il racconto. Con “autore implicito” si indica l’immagine di autore che il testo genera progressivamente nel corso della lettura (con la sua cultura, il suo temperamento, le sue tendenze, la sua fede, ecc.). Si chiama “lettore reale” ogni persona che ha accesso al testo, dai primi destinatari che l’hanno letto o sentito leggere fino ai lettori o ascoltatori di oggi. Per “lettore implicito” si intende colui che il testo presuppone e produce, colui che è capace di effettuare le operazioni mentali e affettive richieste per entrare nel mondo del racconto e rispondervi nel modo voluto dall’autore reale attraverso l’autore implicito. Un testo continua a esercitare la sua influenza nella misura in cui i lettori reali (per esempio noi stessi, alla fine del XX secolo) possono identificarsi con il lettore implicito. Uno dei compiti principali dell’esegesi è quello di facilitare questa identificazione.   All’analisi narrativa si collega un modo nuovo di valutare la portata dei testi. Mentre il metodo storico-critico considera piuttosto il testo come una “finestra”, che permette di dedicarsi a varie osservazioni su una determinata epoca (non soltanto sui fatti raccontati, ma anche sulla situazione della comunità per la quale sono stati raccontati), si sottolinea che il testo funziona anche come “specchio”, nel senso che presenta una certa immagine di mondo, il “mondo del racconto”, che esercita la sua influenza sui modi di vedere del lettore e lo porta ad adottare certi valori piuttosto che altri.   </w:t>
      </w:r>
    </w:p>
    <w:p w:rsidR="00F340AC" w:rsidRPr="00F340AC" w:rsidRDefault="00F340AC" w:rsidP="00F340AC">
      <w:pPr>
        <w:spacing w:after="0" w:line="320" w:lineRule="exact"/>
        <w:jc w:val="both"/>
        <w:rPr>
          <w:rFonts w:ascii="Times New Roman" w:eastAsia="Calibri" w:hAnsi="Times New Roman" w:cs="Times New Roman"/>
          <w:sz w:val="24"/>
          <w:szCs w:val="24"/>
        </w:rPr>
      </w:pP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sz w:val="24"/>
          <w:szCs w:val="24"/>
        </w:rPr>
        <w:t>Cos’è una trama: sistematizzazione degli avvenimenti che costituiscono la storia raccontata: questi avvenimenti sono collegati l’uno all’altro tramite il nesso di causalità (è la configurazione) e inseriti in un processo cronologico (è la consecuzione degli avvenimenti).  La trama è costituita da una trasformazione che conduce un soggetto da uno stato iniziale ad uno stato finale. Si distinguono cinque passi. Situazione iniziale; complicazione; Azione trasformatrice; soluzione; Situazione finale.</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b/>
          <w:sz w:val="24"/>
          <w:szCs w:val="24"/>
        </w:rPr>
        <w:t>Trama di rivelazione</w:t>
      </w:r>
      <w:r w:rsidRPr="00F340AC">
        <w:rPr>
          <w:rFonts w:ascii="Times New Roman" w:eastAsia="Calibri" w:hAnsi="Times New Roman" w:cs="Times New Roman"/>
          <w:sz w:val="24"/>
          <w:szCs w:val="24"/>
        </w:rPr>
        <w:t>: trama la cui azione trasformatrice consiste in un aumento di conoscenza su un personaggio della storia raccontata.</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b/>
          <w:sz w:val="24"/>
          <w:szCs w:val="24"/>
        </w:rPr>
        <w:t>Trama di risoluzione</w:t>
      </w:r>
      <w:r w:rsidRPr="00F340AC">
        <w:rPr>
          <w:rFonts w:ascii="Times New Roman" w:eastAsia="Calibri" w:hAnsi="Times New Roman" w:cs="Times New Roman"/>
          <w:sz w:val="24"/>
          <w:szCs w:val="24"/>
        </w:rPr>
        <w:t>: trama la cui azione trasformatrice opera sul piano pragmatico (di ciò che accade).</w:t>
      </w:r>
    </w:p>
    <w:p w:rsidR="00F340AC" w:rsidRPr="00F340AC" w:rsidRDefault="00F340AC" w:rsidP="00F340AC">
      <w:pPr>
        <w:spacing w:after="0" w:line="320" w:lineRule="exact"/>
        <w:jc w:val="both"/>
        <w:rPr>
          <w:rFonts w:ascii="Times New Roman" w:eastAsia="Calibri" w:hAnsi="Times New Roman" w:cs="Times New Roman"/>
          <w:sz w:val="24"/>
          <w:szCs w:val="24"/>
        </w:rPr>
      </w:pP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b/>
          <w:sz w:val="24"/>
          <w:szCs w:val="24"/>
        </w:rPr>
        <w:t>Tensione drammatica</w:t>
      </w:r>
      <w:r w:rsidRPr="00F340AC">
        <w:rPr>
          <w:rFonts w:ascii="Times New Roman" w:eastAsia="Calibri" w:hAnsi="Times New Roman" w:cs="Times New Roman"/>
          <w:sz w:val="24"/>
          <w:szCs w:val="24"/>
        </w:rPr>
        <w:t>: intensità emozionale o pragmatica ( di azione) del racconto.</w:t>
      </w:r>
    </w:p>
    <w:p w:rsidR="00F340AC" w:rsidRPr="00F340AC" w:rsidRDefault="00F340AC" w:rsidP="00F340AC">
      <w:pPr>
        <w:spacing w:after="200" w:line="320" w:lineRule="exact"/>
        <w:jc w:val="both"/>
        <w:rPr>
          <w:rFonts w:ascii="Times New Roman" w:eastAsia="Calibri" w:hAnsi="Times New Roman" w:cs="Times New Roman"/>
          <w:sz w:val="24"/>
          <w:szCs w:val="24"/>
        </w:rPr>
      </w:pPr>
      <w:r w:rsidRPr="00F340AC">
        <w:rPr>
          <w:rFonts w:ascii="Times New Roman" w:eastAsia="Calibri" w:hAnsi="Times New Roman" w:cs="Times New Roman"/>
          <w:b/>
          <w:sz w:val="24"/>
          <w:szCs w:val="24"/>
        </w:rPr>
        <w:t>Focalizzazione:</w:t>
      </w:r>
      <w:r w:rsidRPr="00F340AC">
        <w:rPr>
          <w:rFonts w:ascii="Times New Roman" w:eastAsia="Calibri" w:hAnsi="Times New Roman" w:cs="Times New Roman"/>
          <w:sz w:val="24"/>
          <w:szCs w:val="24"/>
        </w:rPr>
        <w:t xml:space="preserve"> scelta di una prospettiva da cui narrare il racconto. Può essere interna ad un personaggio, esterna (coincidente con l’azione che si svolge), oppure zero (trasgredisce i limiti del tempo e dello spazio della scena).</w:t>
      </w:r>
    </w:p>
    <w:p w:rsidR="00920DAC" w:rsidRDefault="00F340AC">
      <w:bookmarkStart w:id="6" w:name="_GoBack"/>
      <w:bookmarkEnd w:id="6"/>
    </w:p>
    <w:sectPr w:rsidR="00920DA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0AC"/>
    <w:rsid w:val="00271F08"/>
    <w:rsid w:val="003462C7"/>
    <w:rsid w:val="0065521A"/>
    <w:rsid w:val="00716F8D"/>
    <w:rsid w:val="00796954"/>
    <w:rsid w:val="00DA1948"/>
    <w:rsid w:val="00F340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04411C3-CD62-4EE8-B851-5FECAC38E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2138</Words>
  <Characters>12190</Characters>
  <Application>Microsoft Office Word</Application>
  <DocSecurity>0</DocSecurity>
  <Lines>101</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1</cp:revision>
  <dcterms:created xsi:type="dcterms:W3CDTF">2015-10-22T12:30:00Z</dcterms:created>
  <dcterms:modified xsi:type="dcterms:W3CDTF">2015-10-22T12:31:00Z</dcterms:modified>
</cp:coreProperties>
</file>