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5E7074" w:rsidRDefault="00B14B7D" w:rsidP="00B14B7D">
      <w:pPr>
        <w:widowControl w:val="0"/>
        <w:suppressAutoHyphens/>
        <w:spacing w:after="0" w:line="240" w:lineRule="auto"/>
        <w:jc w:val="both"/>
        <w:rPr>
          <w:rFonts w:ascii="Times New Roman" w:eastAsia="Andale Sans UI" w:hAnsi="Times New Roman" w:cs="Times New Roman"/>
          <w:b/>
          <w:bCs/>
          <w:strike/>
          <w:kern w:val="1"/>
          <w:sz w:val="32"/>
          <w:szCs w:val="32"/>
        </w:rPr>
      </w:pPr>
    </w:p>
    <w:p w:rsidR="00B14B7D" w:rsidRPr="00B14B7D" w:rsidRDefault="00180A5A" w:rsidP="00B14B7D">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 xml:space="preserve">Mc 5, 21-43</w:t>
      </w:r>
    </w:p>
    <w:p w:rsidR="00B14B7D" w:rsidRPr="00B14B7D" w:rsidRDefault="00180A5A" w:rsidP="00B14B7D">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 xml:space="preserve">guarire il cuore</w:t>
      </w:r>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rPr>
      </w:pPr>
      <w:r w:rsidRPr="00B14B7D">
        <w:rPr>
          <w:rFonts w:ascii="Times New Roman" w:eastAsia="Andale Sans UI" w:hAnsi="Times New Roman" w:cs="Times New Roman"/>
          <w:b/>
          <w:bCs/>
          <w:kern w:val="1"/>
          <w:sz w:val="32"/>
          <w:szCs w:val="32"/>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r w:rsidRPr="00B14B7D">
        <w:rPr>
          <w:rFonts w:ascii="Times New Roman" w:eastAsia="Andale Sans UI" w:hAnsi="Times New Roman" w:cs="Times New Roman"/>
          <w:b/>
          <w:bCs/>
          <w:kern w:val="1"/>
          <w:sz w:val="24"/>
          <w:szCs w:val="24"/>
        </w:rPr>
        <w:t xml:space="preserve">IMPORTANTE: </w:t>
      </w:r>
      <w:r w:rsidRPr="00B14B7D">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B14B7D" w:rsidRDefault="00B14B7D" w:rsidP="00B14B7D">
      <w:pPr>
        <w:widowControl w:val="0"/>
        <w:suppressAutoHyphens/>
        <w:spacing w:after="0" w:line="240" w:lineRule="auto"/>
        <w:jc w:val="both"/>
        <w:rPr>
          <w:rFonts w:ascii="Times New Roman" w:eastAsia="Andale Sans UI" w:hAnsi="Times New Roman" w:cs="Times New Roman"/>
          <w:b w:val="false"/>
          <w:bCs/>
          <w:kern w:val="1"/>
          <w:sz w:val="24"/>
          <w:szCs w:val="24"/>
          <w:i w:val="false"/>
        </w:rPr>
      </w:pPr>
    </w:p>
    <w:p w:rsidR="00934284" w:rsidRDefault="00934284" w:rsidP="00B14B7D">
      <w:pPr>
        <w:widowControl w:val="0"/>
        <w:suppressAutoHyphens/>
        <w:spacing w:after="0" w:line="240" w:lineRule="auto"/>
        <w:jc w:val="both"/>
        <w:rPr>
          <w:rFonts w:ascii="Times New Roman" w:eastAsia="Andale Sans UI" w:hAnsi="Times New Roman" w:cs="Times New Roman"/>
          <w:b w:val="false"/>
          <w:kern w:val="1"/>
          <w:sz w:val="32"/>
          <w:szCs w:val="32"/>
        </w:rPr>
      </w:pPr>
    </w:p>
    <w:p w:rsidR="00934284" w:rsidRDefault="00934284" w:rsidP="00B14B7D">
      <w:pPr>
        <w:rPr>
          <w:rFonts w:ascii="Times New Roman" w:eastAsia="Andale Sans UI" w:hAnsi="Times New Roman" w:cs="Times New Roman"/>
          <w:b w:val="false"/>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La particolarità di questo racconto è l’intreccio di due storie, quella della figlia di un capo della sinagoga di nome Giairo e quella della donna affetta da emorragie. Apparentemente i due miracoli non hanno motivo per essere legati, se non per l’esatta sequenza dei fatti. </w:t>
      </w:r>
    </w:p>
    <w:p>
      <w:pPr>
        <w:rPr>
          <w:rFonts w:ascii="Times New Roman" w:eastAsia="Andale Sans UI" w:hAnsi="Times New Roman" w:cs="Times New Roman"/>
          <w:b w:val="false"/>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Ma ci sono delle analogie più profonde: in  entrambi beneficiaria dell’azione salvifica di Dio è una figura femminile: la prima  è una donna considerata impura a causa di un’emorragia che le durava da 12 anni. L’altra è una bambina di 12 anni malata molto gravemente. Inoltre sia Giairo che l’emorroissa si gettano ai piedi di Gesù, segno di adorazione ed espressione di fede. Nel caso della donna è Gesù che lo sottolinea.“La tua fede ti ha salvata!”, mentre per il capo della sinagoga, non c’è una dichiarazione esplicita del Signore, ma c’è la convinta decisione dell’uomo di andare con Lui, senza parlare, affidandosi e fidandosi di Lui :“... affinché sia salvata e viva”.</w:t>
      </w:r>
    </w:p>
    <w:p>
      <w:pPr>
        <w:rPr>
          <w:rFonts w:ascii="Times New Roman" w:eastAsia="Andale Sans UI" w:hAnsi="Times New Roman" w:cs="Times New Roman"/>
          <w:b w:val="false"/>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Marco ci da in questo modo la chiave di lettura di ogni miracolo compiuto da Gesù, che porta non solo una guarigione fisica, ma una salvezza radicale dell'uomo, un anticipo della vita eterna. </w:t>
      </w:r>
    </w:p>
    <w:p>
      <w:pPr>
        <w:rPr>
          <w:rFonts w:ascii="Times New Roman" w:eastAsia="Andale Sans UI" w:hAnsi="Times New Roman" w:cs="Times New Roman"/>
          <w:b w:val="false"/>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Un'ulteriore analogia è che in entrambi i miracoli si assiste ad un tocco. Gesù prende per mano la bambina e l'emorroissa tocca Gesù. Da notare che si tratta di persone impure per la legge di Mosè (per perdite di sangue o per morte) e che quindi dovrebbero estendere l'impurità anche a Gesù. Invece proprio dal tocco scaturisce la salvezza ed emerge la pienezza dell'incontro personale col Signore e dell'adesione di fede. Il “gesto proibito” dell'emorroissa  esprime sicuramente una disperata volontà di guarire  ma anche una fede assoluta in Gesù, ben più forte d'ogni timore. Grazie alla sua fede ella è risanata, e chiamata "figlia", reintegrata cioè nella comunità dei salvati. La sua, infatti, è una fede già implicitamente “pasquale”, nella potenza della resurrezione.</w:t>
      </w:r>
    </w:p>
    <w:p>
      <w:pPr>
        <w:rPr>
          <w:rFonts w:ascii="Times New Roman" w:eastAsia="Andale Sans UI" w:hAnsi="Times New Roman" w:cs="Times New Roman"/>
          <w:b w:val="false"/>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La guarigione fisica che Gesù compie è dunque segno di una ben più radicale guarigione, quella del cuore, che è risanato e rigenerato dalla fede nella resurrezione. </w:t>
      </w:r>
    </w:p>
    <w:p>
      <w:pPr>
        <w:rPr>
          <w:rFonts w:ascii="Times New Roman" w:eastAsia="Andale Sans UI" w:hAnsi="Times New Roman" w:cs="Times New Roman"/>
          <w:b w:val="false"/>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Anche nel secondo miracolo l'evangelista ci fa intuire la dimensione pasquale dei miracoli di Gesù.  Innanzitutto Gesù sceglie come testimoni  i tre discepoli che lo accompagneranno sul monte della Trasfigurazione e nella notte dell'agonia nel Getsemani, ossia Pietro, Giacomo e Giovanni. Poi Gesù le prende la mano della bambina e dice: "Talitha kum". E' un ordine perentorio, che viene tradotto dal narratore col verbo della “resurrezione”: alzati, risorgi! Come il profeta Elia, Gesù compie miracoli di ritorno alla vita (cfr. 1 Re 17, 17 – 24). Più di Elia, è Gesù stesso, con la potenza della sua parola, a compiere il miracolo. Egli è più che un profeta, è Dio, lo sposo che restituisce ad Israele la sua fecondità. Le due donne, infatti, ora hanno la possibilità di generare figli, l'emorroissa perchè guarita, dopo una malattia durata 12 anni, la fanciulla perchè ritornata in vita, all'età del menarca (12 anni).</w:t>
      </w:r>
    </w:p>
    <w:p>
      <w:pPr>
        <w:rPr>
          <w:rFonts w:ascii="Times New Roman" w:eastAsia="Andale Sans UI" w:hAnsi="Times New Roman" w:cs="Times New Roman"/>
          <w:b/>
          <w:kern w:val="1"/>
          <w:sz w:val="32"/>
          <w:szCs w:val="32"/>
        </w:rPr>
        <w:widowControl w:val="0"/>
        <w:suppressAutoHyphens/>
        <w:spacing w:after="0" w:line="240" w:lineRule="auto"/>
        <w:jc w:val="both"/>
      </w:pPr>
      <w:r>
        <w:rPr>
          <w:rFonts w:ascii="Times New Roman" w:eastAsia="Andale Sans UI" w:hAnsi="Times New Roman" w:cs="Times New Roman"/>
          <w:b w:val="false"/>
          <w:kern w:val="1"/>
          <w:sz w:val="32"/>
          <w:szCs w:val="32"/>
        </w:rPr>
        <w:t xml:space="preserve">Lo stupore dei presenti è un misto di meraviglia e di </w:t>
        <w:t xml:space="preserve">panico che prende ogni uomo quando si trova davanti alla presenza di Dio.  </w:t>
        <w:tab/>
        <w:tab/>
      </w:r>
      <w:r>
        <w:rPr>
          <w:rFonts w:ascii="Times New Roman" w:eastAsia="Andale Sans UI" w:hAnsi="Times New Roman" w:cs="Times New Roman"/>
          <w:b/>
          <w:kern w:val="1"/>
          <w:sz w:val="32"/>
          <w:szCs w:val="32"/>
        </w:rPr>
        <w:tab/>
        <w:t xml:space="preserve">      </w:t>
      </w:r>
    </w:p>
    <w:p>
      <w:pPr>
        <w:rPr>
          <w:rFonts w:ascii="Times New Roman" w:eastAsia="Andale Sans UI" w:hAnsi="Times New Roman" w:cs="Times New Roman"/>
          <w:b/>
          <w:kern w:val="1"/>
          <w:sz w:val="32"/>
          <w:szCs w:val="32"/>
        </w:rPr>
        <w:widowControl w:val="0"/>
        <w:suppressAutoHyphens/>
        <w:spacing w:after="0" w:line="240" w:lineRule="auto"/>
        <w:jc w:val="both"/>
      </w:pPr>
    </w:p>
    <w:p>
      <w:pPr>
        <w:rPr>
          <w:rFonts w:ascii="Times New Roman" w:eastAsia="Andale Sans UI" w:hAnsi="Times New Roman" w:cs="Times New Roman"/>
          <w:b/>
          <w:kern w:val="1"/>
          <w:sz w:val="32"/>
          <w:szCs w:val="32"/>
        </w:rPr>
        <w:widowControl w:val="0"/>
        <w:suppressAutoHyphens/>
        <w:spacing w:after="0" w:line="240" w:lineRule="auto"/>
        <w:jc w:val="both"/>
      </w:pPr>
    </w:p>
    <w:p>
      <w:pPr>
        <w:rPr>
          <w:rFonts w:ascii="Times New Roman" w:eastAsia="Andale Sans UI" w:hAnsi="Times New Roman" w:cs="Times New Roman"/>
          <w:b/>
          <w:kern w:val="1"/>
          <w:sz w:val="32"/>
          <w:szCs w:val="32"/>
        </w:rPr>
        <w:widowControl w:val="0"/>
        <w:suppressAutoHyphens/>
        <w:spacing w:after="0" w:line="240" w:lineRule="auto"/>
        <w:jc w:val="both"/>
      </w:pPr>
    </w:p>
    <w:p>
      <w:pPr>
        <w:widowControl w:val="0"/>
        <w:suppressAutoHyphens/>
        <w:spacing w:after="0" w:line="240" w:lineRule="auto"/>
        <w:jc w:val="both"/>
        <w:rPr>
          <w:rFonts w:ascii="Times New Roman" w:eastAsia="Andale Sans UI" w:hAnsi="Times New Roman" w:cs="Times New Roman"/>
          <w:b/>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32"/>
          <w:szCs w:val="32"/>
        </w:rPr>
        <w:lastRenderedPageBreak/>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24"/>
          <w:szCs w:val="24"/>
        </w:rPr>
        <w:t xml:space="preserve">Collocazione spaziale: </w:t>
      </w:r>
      <w:r w:rsidRPr="00B14B7D">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B14B7D">
        <w:rPr>
          <w:rFonts w:ascii="Times New Roman" w:eastAsia="Andale Sans UI" w:hAnsi="Times New Roman" w:cs="Times New Roman"/>
          <w:b/>
          <w:kern w:val="1"/>
          <w:sz w:val="24"/>
          <w:szCs w:val="24"/>
        </w:rPr>
        <w:t>durata</w:t>
      </w:r>
      <w:proofErr w:type="gramEnd"/>
      <w:r w:rsidRPr="00B14B7D">
        <w:rPr>
          <w:rFonts w:ascii="Times New Roman" w:eastAsia="Andale Sans UI" w:hAnsi="Times New Roman" w:cs="Times New Roman"/>
          <w:b/>
          <w:kern w:val="1"/>
          <w:sz w:val="24"/>
          <w:szCs w:val="24"/>
        </w:rPr>
        <w:t xml:space="preserve">: 1h </w:t>
      </w:r>
      <w:r w:rsidRPr="00B14B7D">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color w:val="222222"/>
          <w:kern w:val="1"/>
          <w:sz w:val="28"/>
          <w:szCs w:val="28"/>
        </w:rPr>
        <w:t>Ricordiamo la vita.</w:t>
      </w:r>
      <w:r w:rsidRPr="00B14B7D">
        <w:rPr>
          <w:rFonts w:ascii="Times New Roman" w:eastAsia="Andale Sans UI" w:hAnsi="Times New Roman" w:cs="Times New Roman"/>
          <w:color w:val="222222"/>
          <w:kern w:val="1"/>
          <w:sz w:val="24"/>
          <w:szCs w:val="36"/>
        </w:rPr>
        <w:t xml:space="preserve">  </w:t>
      </w:r>
      <w:r w:rsidR="00BE2DE3">
        <w:rPr>
          <w:rFonts w:ascii="Times New Roman" w:eastAsia="Andale Sans UI" w:hAnsi="Times New Roman" w:cs="Times New Roman"/>
          <w:color w:val="222222"/>
          <w:kern w:val="1"/>
          <w:sz w:val="24"/>
          <w:szCs w:val="36"/>
        </w:rPr>
        <w:t xml:space="preserve"> </w:t>
      </w:r>
      <w:r w:rsidRPr="00B14B7D">
        <w:rPr>
          <w:rFonts w:ascii="Times New Roman" w:eastAsia="Andale Sans UI" w:hAnsi="Times New Roman" w:cs="Times New Roman"/>
          <w:kern w:val="1"/>
          <w:sz w:val="24"/>
          <w:szCs w:val="24"/>
        </w:rPr>
        <w:t xml:space="preserve">(15 minuti). </w:t>
      </w:r>
    </w:p>
    <w:p w:rsidR="00934284" w:rsidRPr="00B14B7D" w:rsidRDefault="00934284"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Questa domanda ha l'obiettivo di coinvo</w:t>
      </w:r>
      <w:r w:rsidR="000A20EA">
        <w:rPr>
          <w:rFonts w:ascii="Times New Roman" w:eastAsia="Andale Sans UI" w:hAnsi="Times New Roman" w:cs="Times New Roman"/>
          <w:i/>
          <w:iCs/>
          <w:kern w:val="1"/>
          <w:sz w:val="24"/>
          <w:szCs w:val="24"/>
        </w:rPr>
        <w:t>lgere i partecipanti al gruppo di preghiera</w:t>
      </w:r>
      <w:r w:rsidRPr="00B14B7D">
        <w:rPr>
          <w:rFonts w:ascii="Times New Roman" w:eastAsia="Andale Sans UI" w:hAnsi="Times New Roman" w:cs="Times New Roman"/>
          <w:i/>
          <w:iCs/>
          <w:kern w:val="1"/>
          <w:sz w:val="24"/>
          <w:szCs w:val="24"/>
        </w:rPr>
        <w:t xml:space="preserve">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w:t>
      </w:r>
      <w:r w:rsidR="000A20EA">
        <w:rPr>
          <w:rFonts w:ascii="Times New Roman" w:eastAsia="Andale Sans UI" w:hAnsi="Times New Roman" w:cs="Times New Roman"/>
          <w:i/>
          <w:iCs/>
          <w:kern w:val="1"/>
          <w:sz w:val="24"/>
          <w:szCs w:val="24"/>
        </w:rPr>
        <w:t xml:space="preserve">ico.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Leggere con attenzione il brano</w:t>
      </w:r>
      <w:r w:rsidRPr="00B14B7D">
        <w:rPr>
          <w:rFonts w:ascii="Times New Roman" w:eastAsia="Andale Sans UI" w:hAnsi="Times New Roman" w:cs="Times New Roman"/>
          <w:kern w:val="1"/>
          <w:sz w:val="24"/>
          <w:szCs w:val="24"/>
        </w:rPr>
        <w:t xml:space="preserve"> del Vangelo (almeno due volte) e soffermarsi su </w:t>
      </w:r>
      <w:r w:rsidR="00B40E05">
        <w:rPr>
          <w:rFonts w:ascii="Times New Roman" w:eastAsia="Andale Sans UI" w:hAnsi="Times New Roman" w:cs="Times New Roman"/>
          <w:kern w:val="1"/>
          <w:sz w:val="24"/>
          <w:szCs w:val="24"/>
        </w:rPr>
        <w:t xml:space="preserve">una </w:t>
      </w:r>
      <w:r w:rsidR="000A20EA">
        <w:rPr>
          <w:rFonts w:ascii="Times New Roman" w:eastAsia="Andale Sans UI" w:hAnsi="Times New Roman" w:cs="Times New Roman"/>
          <w:kern w:val="1"/>
          <w:sz w:val="24"/>
          <w:szCs w:val="24"/>
        </w:rPr>
        <w:t>p</w:t>
      </w:r>
      <w:r w:rsidR="003B3FAA">
        <w:rPr>
          <w:rFonts w:ascii="Times New Roman" w:eastAsia="Andale Sans UI" w:hAnsi="Times New Roman" w:cs="Times New Roman"/>
          <w:kern w:val="1"/>
          <w:sz w:val="24"/>
          <w:szCs w:val="24"/>
        </w:rPr>
        <w:t>a</w:t>
      </w:r>
      <w:r w:rsidR="00E720CF">
        <w:rPr>
          <w:rFonts w:ascii="Times New Roman" w:eastAsia="Andale Sans UI" w:hAnsi="Times New Roman" w:cs="Times New Roman"/>
          <w:kern w:val="1"/>
          <w:sz w:val="24"/>
          <w:szCs w:val="24"/>
        </w:rPr>
        <w:t>rola ch</w:t>
      </w:r>
      <w:r w:rsidR="00180A5A">
        <w:rPr>
          <w:rFonts w:ascii="Times New Roman" w:eastAsia="Andale Sans UI" w:hAnsi="Times New Roman" w:cs="Times New Roman"/>
          <w:kern w:val="1"/>
          <w:sz w:val="24"/>
          <w:szCs w:val="24"/>
        </w:rPr>
        <w:t xml:space="preserve">e </w:t>
      </w:r>
      <w:proofErr w:type="gramStart"/>
      <w:r w:rsidR="00180A5A">
        <w:rPr>
          <w:rFonts w:ascii="Times New Roman" w:eastAsia="Andale Sans UI" w:hAnsi="Times New Roman" w:cs="Times New Roman"/>
          <w:kern w:val="1"/>
          <w:sz w:val="24"/>
          <w:szCs w:val="24"/>
        </w:rPr>
        <w:t>colpisce:  Mc</w:t>
      </w:r>
      <w:proofErr w:type="gramEnd"/>
      <w:r w:rsidR="00180A5A">
        <w:rPr>
          <w:rFonts w:ascii="Times New Roman" w:eastAsia="Andale Sans UI" w:hAnsi="Times New Roman" w:cs="Times New Roman"/>
          <w:kern w:val="1"/>
          <w:sz w:val="24"/>
          <w:szCs w:val="24"/>
        </w:rPr>
        <w:t xml:space="preserve"> 5, 21-43 </w:t>
      </w:r>
      <w:r w:rsidRPr="00B14B7D">
        <w:rPr>
          <w:rFonts w:ascii="Times New Roman" w:eastAsia="Andale Sans UI" w:hAnsi="Times New Roman" w:cs="Times New Roman"/>
          <w:kern w:val="1"/>
          <w:sz w:val="24"/>
          <w:szCs w:val="24"/>
        </w:rPr>
        <w:t xml:space="preserve">(10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kern w:val="1"/>
          <w:sz w:val="24"/>
          <w:szCs w:val="24"/>
        </w:rPr>
        <w:t xml:space="preserve">         3.  </w:t>
      </w:r>
      <w:r w:rsidRPr="00B14B7D">
        <w:rPr>
          <w:rFonts w:ascii="Times New Roman" w:eastAsia="Andale Sans UI" w:hAnsi="Times New Roman" w:cs="Times New Roman"/>
          <w:b/>
          <w:bCs/>
          <w:kern w:val="1"/>
          <w:sz w:val="28"/>
          <w:szCs w:val="28"/>
        </w:rPr>
        <w:t>Iniziare un dialogo</w:t>
      </w:r>
      <w:r w:rsidRPr="00B14B7D">
        <w:rPr>
          <w:rFonts w:ascii="Times New Roman" w:eastAsia="Andale Sans UI" w:hAnsi="Times New Roman" w:cs="Times New Roman"/>
          <w:kern w:val="1"/>
          <w:sz w:val="24"/>
          <w:szCs w:val="24"/>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0E7060" w:rsidRDefault="00E059AC" w:rsidP="00B14B7D">
      <w:pPr>
        <w:widowControl w:val="0"/>
        <w:numPr>
          <w:ilvl w:val="0"/>
          <w:numId w:val="4"/>
        </w:numPr>
        <w:suppressAutoHyphens/>
        <w:spacing w:after="0" w:line="240" w:lineRule="auto"/>
        <w:jc w:val="both"/>
        <w:rPr>
          <w:rFonts w:ascii="Times New Roman" w:eastAsia="Andale Sans UI" w:hAnsi="Times New Roman" w:cs="Times New Roman"/>
          <w:b w:val="false"/>
          <w:bCs/>
          <w:kern w:val="1"/>
          <w:sz w:val="24"/>
          <w:szCs w:val="24"/>
          <w:i w:val="true"/>
        </w:rPr>
      </w:pPr>
      <w:r>
        <w:rPr>
          <w:rFonts w:ascii="Times New Roman" w:eastAsia="Andale Sans UI" w:hAnsi="Times New Roman" w:cs="Times New Roman"/>
          <w:b/>
          <w:bCs/>
          <w:kern w:val="1"/>
          <w:sz w:val="24"/>
          <w:szCs w:val="24"/>
        </w:rPr>
        <w:t>Qual è</w:t>
      </w:r>
      <w:r>
        <w:rPr>
          <w:rFonts w:ascii="Times New Roman" w:eastAsia="Andale Sans UI" w:hAnsi="Times New Roman" w:cs="Times New Roman"/>
          <w:bCs/>
          <w:kern w:val="1"/>
          <w:sz w:val="24"/>
          <w:szCs w:val="24"/>
        </w:rPr>
        <w:t xml:space="preserve"> </w:t>
      </w:r>
      <w:r w:rsidR="008A3BC0">
        <w:rPr>
          <w:rFonts w:ascii="Times New Roman" w:eastAsia="Andale Sans UI" w:hAnsi="Times New Roman" w:cs="Times New Roman"/>
          <w:b/>
          <w:bCs/>
          <w:kern w:val="1"/>
          <w:sz w:val="24"/>
          <w:szCs w:val="24"/>
        </w:rPr>
        <w:t>il tempo</w:t>
      </w:r>
      <w:r w:rsidRPr="00E059AC">
        <w:rPr>
          <w:rFonts w:ascii="Times New Roman" w:eastAsia="Andale Sans UI" w:hAnsi="Times New Roman" w:cs="Times New Roman"/>
          <w:b/>
          <w:bCs/>
          <w:kern w:val="1"/>
          <w:sz w:val="24"/>
          <w:szCs w:val="24"/>
        </w:rPr>
        <w:t xml:space="preserve"> in cui avvi</w:t>
      </w:r>
      <w:r w:rsidR="000E7060">
        <w:rPr>
          <w:rFonts w:ascii="Times New Roman" w:eastAsia="Andale Sans UI" w:hAnsi="Times New Roman" w:cs="Times New Roman"/>
          <w:b/>
          <w:bCs/>
          <w:kern w:val="1"/>
          <w:sz w:val="24"/>
          <w:szCs w:val="24"/>
        </w:rPr>
        <w:t>ene l’azione</w:t>
      </w:r>
      <w:r w:rsidRPr="00E059AC">
        <w:rPr>
          <w:rFonts w:ascii="Times New Roman" w:eastAsia="Andale Sans UI" w:hAnsi="Times New Roman" w:cs="Times New Roman"/>
          <w:b/>
          <w:bCs/>
          <w:kern w:val="1"/>
          <w:sz w:val="24"/>
          <w:szCs w:val="24"/>
        </w:rPr>
        <w:t>?</w:t>
        <w:t xml:space="preserve"> </w:t>
        <w:t xml:space="preserve"> </w:t>
      </w:r>
      <w:r>
        <w:rPr>
          <w:rFonts w:ascii="Times New Roman" w:eastAsia="Andale Sans UI" w:hAnsi="Times New Roman" w:cs="Times New Roman"/>
          <w:b w:val="false"/>
          <w:bCs/>
          <w:kern w:val="1"/>
          <w:sz w:val="24"/>
          <w:szCs w:val="24"/>
        </w:rPr>
        <w:t xml:space="preserve">Le due azioni miracolose di Gesù avvengono una dentro l'altra, perchè mentre Gesù si reca a guarire la figlia di Giairo avviene l'incontro con la donna che aveva perdite di sangue.  Si tratta dunque di un'unica azione, con un unico significato da comprendere.</w:t>
      </w:r>
    </w:p>
    <w:p w:rsidR="00A83898" w:rsidRPr="00934284" w:rsidRDefault="00F168DC"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bCs/>
          <w:kern w:val="1"/>
          <w:sz w:val="24"/>
          <w:szCs w:val="24"/>
          <w:b w:val="false"/>
          <w:i w:val="true"/>
        </w:rPr>
      </w:pPr>
      <w:r>
        <w:rPr>
          <w:rFonts w:ascii="Times New Roman" w:eastAsia="Andale Sans UI" w:hAnsi="Times New Roman" w:cs="Times New Roman"/>
          <w:b/>
          <w:kern w:val="1"/>
          <w:sz w:val="24"/>
          <w:szCs w:val="24"/>
        </w:rPr>
        <w:t xml:space="preserve">Quale luogo? </w:t>
      </w:r>
      <w:r>
        <w:rPr>
          <w:rFonts w:ascii="Times New Roman" w:eastAsia="Andale Sans UI" w:hAnsi="Times New Roman" w:cs="Times New Roman"/>
          <w:b w:val="false"/>
          <w:kern w:val="1"/>
          <w:sz w:val="24"/>
          <w:szCs w:val="24"/>
        </w:rPr>
        <w:t xml:space="preserve">Gesù era ancora con la folla lungo il mare, quando Giairo lo chiama. Il dominio di Gesù sul mare che rappresenta la morte, verrà esplicitato da queste guarigioni di due donne, a cui viene restituita la capacità di generare. </w:t>
      </w:r>
      <w:r>
        <w:rPr>
          <w:rFonts w:ascii="Times New Roman" w:eastAsia="Andale Sans UI" w:hAnsi="Times New Roman" w:cs="Times New Roman"/>
          <w:b w:val="false"/>
          <w:kern w:val="1"/>
          <w:sz w:val="24"/>
          <w:szCs w:val="24"/>
          <w:i w:val="true"/>
        </w:rPr>
        <w:t xml:space="preserve">Quali sentimenti e atteggiamenti di fronte al mistero della morte e alla persona di Gesù?</w:t>
      </w:r>
    </w:p>
    <w:p w:rsidR="002A41B5" w:rsidRDefault="00934284"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kern w:val="1"/>
          <w:sz w:val="24"/>
          <w:szCs w:val="24"/>
          <w:b w:val="false"/>
          <w:i w:val="true"/>
          <w:u w:val="none"/>
        </w:rPr>
      </w:pPr>
      <w:r>
        <w:rPr>
          <w:rFonts w:ascii="Times New Roman" w:eastAsia="Andale Sans UI" w:hAnsi="Times New Roman" w:cs="Times New Roman"/>
          <w:b/>
          <w:kern w:val="1"/>
          <w:sz w:val="24"/>
          <w:szCs w:val="24"/>
        </w:rPr>
        <w:t xml:space="preserve">Cosa fanno i personaggi? </w:t>
      </w:r>
      <w:r>
        <w:rPr>
          <w:rFonts w:ascii="Times New Roman" w:eastAsia="Andale Sans UI" w:hAnsi="Times New Roman" w:cs="Times New Roman"/>
          <w:b w:val="false"/>
          <w:kern w:val="1"/>
          <w:sz w:val="24"/>
          <w:szCs w:val="24"/>
        </w:rPr>
        <w:t xml:space="preserve">Sono da sottolineare i verbi che esprimono l'azione di Giairo e della donna: </w:t>
      </w:r>
      <w:r>
        <w:rPr>
          <w:rFonts w:ascii="Times New Roman" w:eastAsia="Andale Sans UI" w:hAnsi="Times New Roman" w:cs="Times New Roman"/>
          <w:b w:val="false"/>
          <w:kern w:val="1"/>
          <w:sz w:val="24"/>
          <w:szCs w:val="24"/>
          <w:u w:val="single"/>
        </w:rPr>
        <w:t xml:space="preserve">gettarsi ai piedi, supplicare, toccare il mantello.</w:t>
      </w:r>
      <w:r>
        <w:rPr>
          <w:rFonts w:ascii="Times New Roman" w:eastAsia="Andale Sans UI" w:hAnsi="Times New Roman" w:cs="Times New Roman"/>
          <w:b w:val="false"/>
          <w:kern w:val="1"/>
          <w:sz w:val="24"/>
          <w:szCs w:val="24"/>
        </w:rPr>
        <w:t xml:space="preserve"> Essi indicano una fede incondizionata nei confronti di Gesù. I discepoli invece si pongono in una prospettiva umana e raziocinante, quando interloquiscono con Gesù, quasi scandalizzati:"hai tanta gente intorno e chiedi chi ti ha toccato?". Come loro anche la gente che si trova in casa della bambina morta non è nella giusta prospettiva per conoscere Gesù, ma </w:t>
      </w:r>
      <w:r>
        <w:rPr>
          <w:rFonts w:ascii="Times New Roman" w:eastAsia="Andale Sans UI" w:hAnsi="Times New Roman" w:cs="Times New Roman"/>
          <w:b w:val="false"/>
          <w:kern w:val="1"/>
          <w:sz w:val="24"/>
          <w:szCs w:val="24"/>
          <w:u w:val="single"/>
        </w:rPr>
        <w:t xml:space="preserve">lo deride. </w:t>
      </w:r>
      <w:r>
        <w:rPr>
          <w:rFonts w:ascii="Times New Roman" w:eastAsia="Andale Sans UI" w:hAnsi="Times New Roman" w:cs="Times New Roman"/>
          <w:b w:val="false"/>
          <w:kern w:val="1"/>
          <w:sz w:val="24"/>
          <w:szCs w:val="24"/>
          <w:u w:val="none"/>
          <w:i w:val="true"/>
        </w:rPr>
        <w:t xml:space="preserve">Da che parte mi pongo e con chi mi identifico in questi racconti. Quale atteggiamento prevalente nella mia vita?</w:t>
      </w:r>
    </w:p>
    <w:p w:rsidR="0037163C" w:rsidRPr="00B9403B" w:rsidRDefault="00B9403B" w:rsidP="0037163C">
      <w:pPr>
        <w:rPr>
          <w:rFonts w:ascii="Times New Roman" w:eastAsia="Andale Sans UI" w:hAnsi="Times New Roman" w:cs="Times New Roman"/>
          <w:b w:val="false"/>
          <w:kern w:val="1"/>
          <w:sz w:val="24"/>
          <w:szCs w:val="24"/>
          <w:u w:val="none"/>
          <w:i w:val="false"/>
        </w:rPr>
        <w:pStyle w:val="Paragrafoelenco"/>
        <w:widowControl w:val="0"/>
        <w:numPr>
          <w:ilvl w:val="0"/>
          <w:numId w:val="9"/>
        </w:numPr>
        <w:suppressAutoHyphens/>
        <w:spacing w:after="0" w:line="240" w:lineRule="auto"/>
        <w:jc w:val="both"/>
      </w:pPr>
      <w:r>
        <w:rPr>
          <w:rFonts w:ascii="Times New Roman" w:eastAsia="Andale Sans UI" w:hAnsi="Times New Roman" w:cs="Times New Roman"/>
          <w:b/>
          <w:kern w:val="1"/>
          <w:sz w:val="24"/>
          <w:szCs w:val="24"/>
        </w:rPr>
        <w:t xml:space="preserve">Cosa fa Gesù? </w:t>
      </w:r>
      <w:r>
        <w:rPr>
          <w:rFonts w:ascii="Times New Roman" w:eastAsia="Andale Sans UI" w:hAnsi="Times New Roman" w:cs="Times New Roman"/>
          <w:b w:val="false"/>
          <w:kern w:val="1"/>
          <w:sz w:val="24"/>
          <w:szCs w:val="24"/>
        </w:rPr>
        <w:t xml:space="preserve">Gesù </w:t>
      </w:r>
      <w:r>
        <w:rPr>
          <w:rFonts w:ascii="Times New Roman" w:eastAsia="Andale Sans UI" w:hAnsi="Times New Roman" w:cs="Times New Roman"/>
          <w:b w:val="false"/>
          <w:kern w:val="1"/>
          <w:sz w:val="24"/>
          <w:szCs w:val="24"/>
          <w:u w:val="single"/>
        </w:rPr>
        <w:t xml:space="preserve">tocca</w:t>
      </w:r>
      <w:r>
        <w:rPr>
          <w:rFonts w:ascii="Times New Roman" w:eastAsia="Andale Sans UI" w:hAnsi="Times New Roman" w:cs="Times New Roman"/>
          <w:b w:val="false"/>
          <w:kern w:val="1"/>
          <w:sz w:val="24"/>
          <w:szCs w:val="24"/>
          <w:u w:val="none"/>
        </w:rPr>
        <w:t xml:space="preserve"> bimba per le mani. </w:t>
      </w:r>
      <w:r>
        <w:rPr>
          <w:rFonts w:ascii="Times New Roman" w:eastAsia="Andale Sans UI" w:hAnsi="Times New Roman" w:cs="Times New Roman"/>
          <w:b w:val="false"/>
          <w:kern w:val="1"/>
          <w:sz w:val="24"/>
          <w:szCs w:val="24"/>
          <w:u w:val="single"/>
        </w:rPr>
        <w:t xml:space="preserve">Viene toccato </w:t>
      </w:r>
      <w:r>
        <w:rPr>
          <w:rFonts w:ascii="Times New Roman" w:eastAsia="Andale Sans UI" w:hAnsi="Times New Roman" w:cs="Times New Roman"/>
          <w:b w:val="false"/>
          <w:kern w:val="1"/>
          <w:sz w:val="24"/>
          <w:szCs w:val="24"/>
          <w:u w:val="none"/>
        </w:rPr>
        <w:t xml:space="preserve">nel mantello dalla donna. Incoraggia Giairo:"non temere abbi soltanto fede". Riconosce la fede della donna: "Figlia, la tua fede ti ha salvato". Egli mostra come la potenza sche scaturisce dai suoi gesti e parole ha a che fare con la fede dei suoi interlocutori nella sua persona. </w:t>
      </w:r>
      <w:r>
        <w:rPr>
          <w:rFonts w:ascii="Times New Roman" w:eastAsia="Andale Sans UI" w:hAnsi="Times New Roman" w:cs="Times New Roman"/>
          <w:b w:val="false"/>
          <w:kern w:val="1"/>
          <w:sz w:val="24"/>
          <w:szCs w:val="24"/>
          <w:u w:val="none"/>
          <w:i w:val="true"/>
        </w:rPr>
        <w:t xml:space="preserve">Qual è il mio contatto con Gesù? Si basa sulla fede?</w:t>
      </w:r>
    </w:p>
    <w:p>
      <w:pPr>
        <w:pStyle w:val="Paragrafoelenco"/>
        <w:widowControl w:val="0"/>
        <w:numPr>
          <w:ilvl w:val="0"/>
          <w:numId w:val="9"/>
        </w:numPr>
        <w:suppressAutoHyphens/>
        <w:spacing w:after="0" w:line="240" w:lineRule="auto"/>
        <w:jc w:val="both"/>
        <w:rPr>
          <w:rFonts w:ascii="Times New Roman" w:eastAsia="Andale Sans UI" w:hAnsi="Times New Roman" w:cs="Times New Roman"/>
          <w:b w:val="false"/>
          <w:kern w:val="1"/>
          <w:sz w:val="24"/>
          <w:szCs w:val="24"/>
          <w:u w:val="none"/>
          <w:i w:val="true"/>
        </w:rPr>
      </w:pPr>
      <w:r>
        <w:rPr>
          <w:rFonts w:ascii="Times New Roman" w:eastAsia="Andale Sans UI" w:hAnsi="Times New Roman" w:cs="Times New Roman"/>
          <w:b w:val="true"/>
          <w:kern w:val="1"/>
          <w:sz w:val="24"/>
          <w:szCs w:val="24"/>
          <w:u w:val="none"/>
          <w:i w:val="false"/>
        </w:rPr>
        <w:t xml:space="preserve">Quale rivelazione è qui contenuta? </w:t>
      </w:r>
      <w:r>
        <w:rPr>
          <w:rFonts w:ascii="Times New Roman" w:eastAsia="Andale Sans UI" w:hAnsi="Times New Roman" w:cs="Times New Roman"/>
          <w:b w:val="false"/>
          <w:kern w:val="1"/>
          <w:sz w:val="24"/>
          <w:szCs w:val="24"/>
          <w:u w:val="none"/>
          <w:i w:val="false"/>
        </w:rPr>
        <w:t xml:space="preserve">Gesù rivela il Dio sposo dell'umanità, che le restituisce la fecondità perduta. Il dono della resurrezione è misteriosamente indicato nei due miracoli, per la presenza dei tre discepoli che hannocondiviso la trasfigurazione di Gesù, e per la reticenza di Gesù di fronte alla gente: "La fanciulla non è morta, ma dorme". In questo modo Gesù indica che il significato di questo miracolo si potrà comprendere solo alla luce della sua resurrezione. </w:t>
      </w:r>
      <w:r>
        <w:rPr>
          <w:rFonts w:ascii="Times New Roman" w:eastAsia="Andale Sans UI" w:hAnsi="Times New Roman" w:cs="Times New Roman"/>
          <w:b w:val="false"/>
          <w:kern w:val="1"/>
          <w:sz w:val="24"/>
          <w:szCs w:val="24"/>
          <w:u w:val="none"/>
          <w:i w:val="true"/>
        </w:rPr>
        <w:t xml:space="preserve">Avverto il dono della resurrezione come una realtà già presente nella mia vita, che dona fecondità ai miei giorni?</w:t>
      </w:r>
    </w:p>
    <w:p w:rsidR="009A3108" w:rsidRDefault="009A3108" w:rsidP="00A668E0">
      <w:pPr>
        <w:pStyle w:val="Paragrafoelenco"/>
        <w:widowControl w:val="0"/>
        <w:suppressAutoHyphens/>
        <w:spacing w:after="0" w:line="240" w:lineRule="auto"/>
        <w:jc w:val="both"/>
        <w:rPr>
          <w:rFonts w:ascii="Times New Roman" w:eastAsia="Andale Sans UI" w:hAnsi="Times New Roman" w:cs="Times New Roman"/>
          <w:kern w:val="1"/>
          <w:sz w:val="24"/>
          <w:szCs w:val="24"/>
        </w:rPr>
      </w:pPr>
    </w:p>
    <w:p w:rsidR="003E461D" w:rsidRPr="003E461D" w:rsidRDefault="003E461D" w:rsidP="003E461D">
      <w:pPr>
        <w:pStyle w:val="Paragrafoelenco"/>
        <w:widowControl w:val="0"/>
        <w:suppressAutoHyphens/>
        <w:spacing w:after="0" w:line="240" w:lineRule="auto"/>
        <w:jc w:val="both"/>
        <w:rPr>
          <w:rFonts w:ascii="Times New Roman" w:eastAsia="Andale Sans UI" w:hAnsi="Times New Roman" w:cs="Times New Roman"/>
          <w:b/>
          <w:bCs/>
          <w:kern w:val="1"/>
          <w:sz w:val="28"/>
          <w:szCs w:val="28"/>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Condivisione della vita nella preghiera</w:t>
      </w:r>
      <w:r w:rsidRPr="00B14B7D">
        <w:rPr>
          <w:rFonts w:ascii="Times New Roman" w:eastAsia="Andale Sans UI" w:hAnsi="Times New Roman" w:cs="Times New Roman"/>
          <w:b/>
          <w:bCs/>
          <w:kern w:val="1"/>
          <w:sz w:val="24"/>
          <w:szCs w:val="24"/>
        </w:rPr>
        <w:t xml:space="preserve"> (5/10 min). </w:t>
      </w:r>
      <w:r w:rsidRPr="00B14B7D">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bookmarkStart w:id="0" w:name="_GoBack"/>
      <w:bookmarkEnd w:id="0"/>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w:charset w:val="00"/>
    <w:family w:val="swiss"/>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14DC6CAE"/>
    <w:multiLevelType w:val="hybridMultilevel"/>
    <w:tmpl w:val="33746BAC"/>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1E7366C8"/>
    <w:multiLevelType w:val="hybridMultilevel"/>
    <w:tmpl w:val="49A0F69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6527D7B"/>
    <w:multiLevelType w:val="hybridMultilevel"/>
    <w:tmpl w:val="A5949C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9"/>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0A20EA"/>
    <w:rsid w:val="000E7060"/>
    <w:rsid w:val="001013D4"/>
    <w:rsid w:val="001141E7"/>
    <w:rsid w:val="00180A5A"/>
    <w:rsid w:val="00183721"/>
    <w:rsid w:val="001A0BAF"/>
    <w:rsid w:val="001F36D6"/>
    <w:rsid w:val="00247662"/>
    <w:rsid w:val="00256DB2"/>
    <w:rsid w:val="00271836"/>
    <w:rsid w:val="002A38DD"/>
    <w:rsid w:val="002A3B48"/>
    <w:rsid w:val="002A41B5"/>
    <w:rsid w:val="002B4951"/>
    <w:rsid w:val="002C7584"/>
    <w:rsid w:val="002C7C57"/>
    <w:rsid w:val="002E7231"/>
    <w:rsid w:val="00322016"/>
    <w:rsid w:val="00344054"/>
    <w:rsid w:val="003462C7"/>
    <w:rsid w:val="0037163C"/>
    <w:rsid w:val="0039742F"/>
    <w:rsid w:val="003B3FAA"/>
    <w:rsid w:val="003B6B10"/>
    <w:rsid w:val="003C4019"/>
    <w:rsid w:val="003E23F4"/>
    <w:rsid w:val="003E2634"/>
    <w:rsid w:val="003E461D"/>
    <w:rsid w:val="003E7F56"/>
    <w:rsid w:val="003F4519"/>
    <w:rsid w:val="00453676"/>
    <w:rsid w:val="004827B2"/>
    <w:rsid w:val="004C2D7B"/>
    <w:rsid w:val="004E52A7"/>
    <w:rsid w:val="00567FC7"/>
    <w:rsid w:val="00570731"/>
    <w:rsid w:val="005A01FB"/>
    <w:rsid w:val="005E7074"/>
    <w:rsid w:val="00604746"/>
    <w:rsid w:val="006756FB"/>
    <w:rsid w:val="006D4390"/>
    <w:rsid w:val="00700A1E"/>
    <w:rsid w:val="00707D36"/>
    <w:rsid w:val="00716F8D"/>
    <w:rsid w:val="00720EB9"/>
    <w:rsid w:val="00721C67"/>
    <w:rsid w:val="007845C5"/>
    <w:rsid w:val="007C5282"/>
    <w:rsid w:val="007E1AC3"/>
    <w:rsid w:val="008027A0"/>
    <w:rsid w:val="008056EE"/>
    <w:rsid w:val="008261FD"/>
    <w:rsid w:val="008452CA"/>
    <w:rsid w:val="008A3BC0"/>
    <w:rsid w:val="008F62C4"/>
    <w:rsid w:val="008F7A12"/>
    <w:rsid w:val="00934284"/>
    <w:rsid w:val="009650B3"/>
    <w:rsid w:val="009A3108"/>
    <w:rsid w:val="009C30B0"/>
    <w:rsid w:val="009F2BCE"/>
    <w:rsid w:val="00A323CD"/>
    <w:rsid w:val="00A562E6"/>
    <w:rsid w:val="00A668E0"/>
    <w:rsid w:val="00A83898"/>
    <w:rsid w:val="00AA71F6"/>
    <w:rsid w:val="00AC5D16"/>
    <w:rsid w:val="00B14B7D"/>
    <w:rsid w:val="00B22DBD"/>
    <w:rsid w:val="00B40E05"/>
    <w:rsid w:val="00B626F7"/>
    <w:rsid w:val="00B64A67"/>
    <w:rsid w:val="00B64DC4"/>
    <w:rsid w:val="00B9403B"/>
    <w:rsid w:val="00BA0806"/>
    <w:rsid w:val="00BA6E8F"/>
    <w:rsid w:val="00BC5BAC"/>
    <w:rsid w:val="00BE2DE3"/>
    <w:rsid w:val="00BE6489"/>
    <w:rsid w:val="00C040AF"/>
    <w:rsid w:val="00C4242B"/>
    <w:rsid w:val="00C65D95"/>
    <w:rsid w:val="00C953FB"/>
    <w:rsid w:val="00CA66FC"/>
    <w:rsid w:val="00CD0C68"/>
    <w:rsid w:val="00CE23CC"/>
    <w:rsid w:val="00CE3018"/>
    <w:rsid w:val="00D85448"/>
    <w:rsid w:val="00D85D81"/>
    <w:rsid w:val="00DA0C9A"/>
    <w:rsid w:val="00DA16F9"/>
    <w:rsid w:val="00DD766E"/>
    <w:rsid w:val="00E059AC"/>
    <w:rsid w:val="00E142C1"/>
    <w:rsid w:val="00E233AB"/>
    <w:rsid w:val="00E4456E"/>
    <w:rsid w:val="00E5097C"/>
    <w:rsid w:val="00E720CF"/>
    <w:rsid w:val="00E83D10"/>
    <w:rsid w:val="00EC6E16"/>
    <w:rsid w:val="00F168DC"/>
    <w:rsid w:val="00F35AB9"/>
    <w:rsid w:val="00F51A89"/>
    <w:rsid w:val="00F75602"/>
    <w:rsid w:val="00FA58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 w:type="paragraph" w:styleId="Testofumetto">
    <w:name w:val="Balloon Text"/>
    <w:basedOn w:val="Normale"/>
    <w:link w:val="TestofumettoCarattere"/>
    <w:uiPriority w:val="99"/>
    <w:semiHidden/>
    <w:unhideWhenUsed/>
    <w:rsid w:val="005E707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7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1168</Words>
  <Characters>6658</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15</cp:revision>
  <cp:lastPrinted>2015-01-28T18:29:00Z</cp:lastPrinted>
  <dcterms:created xsi:type="dcterms:W3CDTF">2015-06-08T13:37:00Z</dcterms:created>
  <dcterms:modified xsi:type="dcterms:W3CDTF">2015-06-08T14:35:00Z</dcterms:modified>
</cp:coreProperties>
</file>