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1A74" w:rsidRDefault="00041A74" w:rsidP="004A2D32">
      <w:pPr>
        <w:jc w:val="both"/>
        <w:rPr>
          <w:b/>
          <w:sz w:val="28"/>
        </w:rPr>
      </w:pPr>
    </w:p>
    <w:p w:rsidR="00041A74" w:rsidRDefault="00041A74" w:rsidP="004A2D32">
      <w:pPr>
        <w:jc w:val="both"/>
        <w:rPr>
          <w:b/>
          <w:sz w:val="28"/>
        </w:rPr>
      </w:pPr>
    </w:p>
    <w:p w:rsidR="00041A74" w:rsidRPr="00041A74" w:rsidRDefault="00041A74" w:rsidP="00041A74">
      <w:pPr>
        <w:keepNext/>
        <w:keepLines/>
        <w:spacing w:before="480" w:after="0"/>
        <w:outlineLvl w:val="0"/>
        <w:rPr>
          <w:rFonts w:ascii="Times New Roman" w:eastAsiaTheme="majorEastAsia" w:hAnsi="Times New Roman" w:cs="Times New Roman"/>
          <w:b/>
          <w:bCs/>
          <w:color w:val="365F91" w:themeColor="accent1" w:themeShade="BF"/>
          <w:sz w:val="28"/>
          <w:szCs w:val="24"/>
        </w:rPr>
      </w:pPr>
      <w:bookmarkStart w:id="0" w:name="_Toc374449814"/>
      <w:r w:rsidRPr="00041A74">
        <w:rPr>
          <w:rFonts w:ascii="Times New Roman" w:eastAsiaTheme="majorEastAsia" w:hAnsi="Times New Roman" w:cs="Times New Roman"/>
          <w:b/>
          <w:bCs/>
          <w:color w:val="365F91" w:themeColor="accent1" w:themeShade="BF"/>
          <w:sz w:val="28"/>
          <w:szCs w:val="24"/>
        </w:rPr>
        <w:t xml:space="preserve">5. </w:t>
      </w:r>
      <w:proofErr w:type="spellStart"/>
      <w:r w:rsidRPr="00041A74">
        <w:rPr>
          <w:rFonts w:ascii="Times New Roman" w:eastAsiaTheme="majorEastAsia" w:hAnsi="Times New Roman" w:cs="Times New Roman"/>
          <w:b/>
          <w:bCs/>
          <w:color w:val="365F91" w:themeColor="accent1" w:themeShade="BF"/>
          <w:sz w:val="28"/>
          <w:szCs w:val="24"/>
        </w:rPr>
        <w:t>Gn</w:t>
      </w:r>
      <w:proofErr w:type="spellEnd"/>
      <w:r w:rsidRPr="00041A74">
        <w:rPr>
          <w:rFonts w:ascii="Times New Roman" w:eastAsiaTheme="majorEastAsia" w:hAnsi="Times New Roman" w:cs="Times New Roman"/>
          <w:b/>
          <w:bCs/>
          <w:color w:val="365F91" w:themeColor="accent1" w:themeShade="BF"/>
          <w:sz w:val="28"/>
          <w:szCs w:val="24"/>
        </w:rPr>
        <w:t xml:space="preserve"> 6, 1 – 22: la giustizia di dio e l’obbedienza del servo.</w:t>
      </w:r>
      <w:bookmarkEnd w:id="0"/>
    </w:p>
    <w:p w:rsidR="00041A74" w:rsidRPr="00041A74" w:rsidRDefault="00041A74" w:rsidP="00041A74">
      <w:pPr>
        <w:keepNext/>
        <w:keepLines/>
        <w:spacing w:before="200" w:after="0"/>
        <w:outlineLvl w:val="1"/>
        <w:rPr>
          <w:rFonts w:ascii="Times New Roman" w:eastAsiaTheme="majorEastAsia" w:hAnsi="Times New Roman" w:cs="Times New Roman"/>
          <w:b/>
          <w:bCs/>
          <w:color w:val="4F81BD" w:themeColor="accent1"/>
          <w:sz w:val="24"/>
          <w:szCs w:val="24"/>
        </w:rPr>
      </w:pPr>
      <w:bookmarkStart w:id="1" w:name="_Toc374449815"/>
      <w:r w:rsidRPr="00041A74">
        <w:rPr>
          <w:rFonts w:ascii="Times New Roman" w:eastAsiaTheme="majorEastAsia" w:hAnsi="Times New Roman" w:cs="Times New Roman"/>
          <w:b/>
          <w:bCs/>
          <w:color w:val="4F81BD" w:themeColor="accent1"/>
          <w:sz w:val="24"/>
          <w:szCs w:val="24"/>
        </w:rPr>
        <w:t>DEI VERBUM 15</w:t>
      </w:r>
      <w:bookmarkEnd w:id="1"/>
    </w:p>
    <w:p w:rsidR="00041A74" w:rsidRPr="00041A74" w:rsidRDefault="00041A74" w:rsidP="00041A74">
      <w:pPr>
        <w:spacing w:line="360" w:lineRule="auto"/>
        <w:jc w:val="both"/>
        <w:rPr>
          <w:rFonts w:ascii="Times New Roman" w:hAnsi="Times New Roman" w:cs="Times New Roman"/>
          <w:i/>
          <w:sz w:val="24"/>
          <w:szCs w:val="24"/>
        </w:rPr>
      </w:pPr>
      <w:r w:rsidRPr="00041A74">
        <w:rPr>
          <w:rFonts w:ascii="Times New Roman" w:hAnsi="Times New Roman" w:cs="Times New Roman"/>
          <w:i/>
          <w:sz w:val="24"/>
          <w:szCs w:val="24"/>
        </w:rPr>
        <w:t xml:space="preserve">15. L'economia del Vecchio Testamento era soprattutto ordinata a preparare, ad annunziare profeticamente (cfr. Lc 24,44; </w:t>
      </w:r>
      <w:proofErr w:type="spellStart"/>
      <w:r w:rsidRPr="00041A74">
        <w:rPr>
          <w:rFonts w:ascii="Times New Roman" w:hAnsi="Times New Roman" w:cs="Times New Roman"/>
          <w:i/>
          <w:sz w:val="24"/>
          <w:szCs w:val="24"/>
        </w:rPr>
        <w:t>Gv</w:t>
      </w:r>
      <w:proofErr w:type="spellEnd"/>
      <w:r w:rsidRPr="00041A74">
        <w:rPr>
          <w:rFonts w:ascii="Times New Roman" w:hAnsi="Times New Roman" w:cs="Times New Roman"/>
          <w:i/>
          <w:sz w:val="24"/>
          <w:szCs w:val="24"/>
        </w:rPr>
        <w:t xml:space="preserve"> 5,39; 1 </w:t>
      </w:r>
      <w:proofErr w:type="spellStart"/>
      <w:r w:rsidRPr="00041A74">
        <w:rPr>
          <w:rFonts w:ascii="Times New Roman" w:hAnsi="Times New Roman" w:cs="Times New Roman"/>
          <w:i/>
          <w:sz w:val="24"/>
          <w:szCs w:val="24"/>
        </w:rPr>
        <w:t>Pt</w:t>
      </w:r>
      <w:proofErr w:type="spellEnd"/>
      <w:r w:rsidRPr="00041A74">
        <w:rPr>
          <w:rFonts w:ascii="Times New Roman" w:hAnsi="Times New Roman" w:cs="Times New Roman"/>
          <w:i/>
          <w:sz w:val="24"/>
          <w:szCs w:val="24"/>
        </w:rPr>
        <w:t xml:space="preserve"> 1,10) e a significare con diverse figure (cfr. 1 </w:t>
      </w:r>
      <w:proofErr w:type="spellStart"/>
      <w:r w:rsidRPr="00041A74">
        <w:rPr>
          <w:rFonts w:ascii="Times New Roman" w:hAnsi="Times New Roman" w:cs="Times New Roman"/>
          <w:i/>
          <w:sz w:val="24"/>
          <w:szCs w:val="24"/>
        </w:rPr>
        <w:t>Cor</w:t>
      </w:r>
      <w:proofErr w:type="spellEnd"/>
      <w:r w:rsidRPr="00041A74">
        <w:rPr>
          <w:rFonts w:ascii="Times New Roman" w:hAnsi="Times New Roman" w:cs="Times New Roman"/>
          <w:i/>
          <w:sz w:val="24"/>
          <w:szCs w:val="24"/>
        </w:rPr>
        <w:t xml:space="preserve"> 10,11) l'avvento di Cristo redentore dell'universo e del regno messianico. I libri poi del Vecchio Testamento, tenuto conto della condizione del genere umano prima dei tempi della salvezza instaurata da Cristo, manifestano a tutti chi è Dio e chi è l'uomo e il modo con cui Dio giusto e </w:t>
      </w:r>
      <w:proofErr w:type="gramStart"/>
      <w:r w:rsidRPr="00041A74">
        <w:rPr>
          <w:rFonts w:ascii="Times New Roman" w:hAnsi="Times New Roman" w:cs="Times New Roman"/>
          <w:i/>
          <w:sz w:val="24"/>
          <w:szCs w:val="24"/>
        </w:rPr>
        <w:t>misericordioso</w:t>
      </w:r>
      <w:proofErr w:type="gramEnd"/>
      <w:r w:rsidRPr="00041A74">
        <w:rPr>
          <w:rFonts w:ascii="Times New Roman" w:hAnsi="Times New Roman" w:cs="Times New Roman"/>
          <w:i/>
          <w:sz w:val="24"/>
          <w:szCs w:val="24"/>
        </w:rPr>
        <w:t xml:space="preserve"> agisce con gli uomini. Questi libri, sebbene contengano cose imperfette e caduche, dimostrano tuttavia una vera pedagogia divina (28). Quindi i cristiani devono ricevere con devozione questi libri: in essi si esprime un vivo senso di Dio; in essi sono racchiusi sublimi insegnamenti su Dio, una sapienza salutare per la vita dell'uomo e mirabili tesori di preghiere; in essi infine è nascosto il mistero della nostra salvezza.</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1Quando gli uomini cominciarono a moltiplicarsi sulla terra e nacquero loro delle figlie, 2i figli di Dio videro che le figlie degli uomini erano belle e ne presero per mogli a loro scelta. 3Allora il Signore disse: «Il mio spirito non resterà sempre nell'uomo, perché egli è carne e la sua vita sarà di centoventi anni».</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4C'erano sulla terra i giganti a quei tempi - e anche dopo -, quando i figli di Dio si univano alle figlie degli uomini e queste partorivano loro dei figli: sono questi gli eroi dell'antichità, uomini famosi.</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5Il Signore vide che la malvagità degli uomini era grande sulla terra e che ogni intimo intento del loro cuore non era altro che male, sempre. 6E il Signore si pentì di aver fatto l'uomo sulla terra e se ne addolorò in cuor suo. 7Il Signore disse: «Cancellerò dalla faccia della terra l'uomo che ho creato e, con l'uomo, anche il bestiame e i rettili e gli uccelli del cielo, perché sono pentito di averli fatti». 8Ma Noè trovò grazia agli occhi del Signore.</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9Questa è la discendenza di Noè. Noè era uomo giusto e integro tra i suoi contemporanei e camminava con Dio. 10Noè generò tre figli: Sem, </w:t>
      </w:r>
      <w:proofErr w:type="spellStart"/>
      <w:r w:rsidRPr="00041A74">
        <w:rPr>
          <w:rFonts w:ascii="Times New Roman" w:hAnsi="Times New Roman" w:cs="Times New Roman"/>
          <w:sz w:val="24"/>
          <w:szCs w:val="24"/>
        </w:rPr>
        <w:t>Cam</w:t>
      </w:r>
      <w:proofErr w:type="spellEnd"/>
      <w:r w:rsidRPr="00041A74">
        <w:rPr>
          <w:rFonts w:ascii="Times New Roman" w:hAnsi="Times New Roman" w:cs="Times New Roman"/>
          <w:sz w:val="24"/>
          <w:szCs w:val="24"/>
        </w:rPr>
        <w:t xml:space="preserve"> e Iafet. 11Ma la terra era corrotta davanti a Dio e piena di violenza. 12Dio guardò la terra ed ecco, essa era corrotta, perché ogni uomo </w:t>
      </w:r>
      <w:r w:rsidRPr="00041A74">
        <w:rPr>
          <w:rFonts w:ascii="Times New Roman" w:hAnsi="Times New Roman" w:cs="Times New Roman"/>
          <w:b/>
          <w:sz w:val="24"/>
          <w:szCs w:val="24"/>
        </w:rPr>
        <w:t>aveva pervertito (</w:t>
      </w:r>
      <w:proofErr w:type="spellStart"/>
      <w:r w:rsidRPr="00041A74">
        <w:rPr>
          <w:rFonts w:ascii="Times New Roman" w:hAnsi="Times New Roman" w:cs="Times New Roman"/>
          <w:b/>
          <w:sz w:val="24"/>
          <w:szCs w:val="24"/>
        </w:rPr>
        <w:t>sht</w:t>
      </w:r>
      <w:proofErr w:type="spellEnd"/>
      <w:r w:rsidRPr="00041A74">
        <w:rPr>
          <w:rFonts w:ascii="Times New Roman" w:hAnsi="Times New Roman" w:cs="Times New Roman"/>
          <w:b/>
          <w:sz w:val="24"/>
          <w:szCs w:val="24"/>
        </w:rPr>
        <w:t>)</w:t>
      </w:r>
      <w:r w:rsidRPr="00041A74">
        <w:rPr>
          <w:rFonts w:ascii="Times New Roman" w:hAnsi="Times New Roman" w:cs="Times New Roman"/>
          <w:sz w:val="24"/>
          <w:szCs w:val="24"/>
        </w:rPr>
        <w:t xml:space="preserve"> la sua condotta sulla terra. 13Allora Dio disse a Noè: «È venuta per me la fine di ogni uomo, perché la terra, per causa loro, è piena di violenza; ecco, </w:t>
      </w:r>
      <w:r w:rsidRPr="00041A74">
        <w:rPr>
          <w:rFonts w:ascii="Times New Roman" w:hAnsi="Times New Roman" w:cs="Times New Roman"/>
          <w:b/>
          <w:sz w:val="24"/>
          <w:szCs w:val="24"/>
        </w:rPr>
        <w:t>io li distruggerò (</w:t>
      </w:r>
      <w:proofErr w:type="spellStart"/>
      <w:r w:rsidRPr="00041A74">
        <w:rPr>
          <w:rFonts w:ascii="Times New Roman" w:hAnsi="Times New Roman" w:cs="Times New Roman"/>
          <w:b/>
          <w:sz w:val="24"/>
          <w:szCs w:val="24"/>
        </w:rPr>
        <w:t>sht</w:t>
      </w:r>
      <w:proofErr w:type="spellEnd"/>
      <w:r w:rsidRPr="00041A74">
        <w:rPr>
          <w:rFonts w:ascii="Times New Roman" w:hAnsi="Times New Roman" w:cs="Times New Roman"/>
          <w:b/>
          <w:sz w:val="24"/>
          <w:szCs w:val="24"/>
        </w:rPr>
        <w:t>)</w:t>
      </w:r>
      <w:r w:rsidRPr="00041A74">
        <w:rPr>
          <w:rFonts w:ascii="Times New Roman" w:hAnsi="Times New Roman" w:cs="Times New Roman"/>
          <w:sz w:val="24"/>
          <w:szCs w:val="24"/>
        </w:rPr>
        <w:t xml:space="preserve"> insieme </w:t>
      </w:r>
      <w:r w:rsidRPr="00041A74">
        <w:rPr>
          <w:rFonts w:ascii="Times New Roman" w:hAnsi="Times New Roman" w:cs="Times New Roman"/>
          <w:sz w:val="24"/>
          <w:szCs w:val="24"/>
        </w:rPr>
        <w:lastRenderedPageBreak/>
        <w:t>con la terra. 14Fatti un'arca di legno di cipresso; dividerai l'arca in scompartimenti e la spalmerai di bitume dentro e fuori. 15Ecco come devi farla: l'arca avrà trecento cubiti di lunghezza, cinquanta di larghezza e trenta di altezza. 16Farai nell'arca un tetto e, a un cubito più sopra, la terminerai; da un lato metterai la porta dell'arca. La farai a piani: inferiore, medio e superiore.</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17Ecco, io sto per mandare il diluvio, cioè le acque, sulla terra, per distruggere sotto il cielo ogni carne in cui c'è soffio di vita; quanto è sulla terra perirà. 18Ma con te io stabilisco la mia alleanza. Entrerai nell'arca tu e con te i tuoi figli, tua moglie e le mogli dei tuoi figli. 19Di quanto vive, di ogni carne, introdurrai nell'arca due di ogni specie, per conservarli in vita con te: siano maschio e femmina. 20Degli uccelli, secondo la loro specie, del bestiame, secondo la propria specie, e di tutti i rettili del suolo, secondo la loro specie, due di ognuna verranno con te, per essere conservati in vita. 21Quanto a te, prenditi ogni sorta di cibo da mangiare e fanne provvista: sarà di nutrimento per te e per loro».</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22Noè eseguì ogni cosa come Dio gli aveva comandato: così fece.</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Il racconto di Noè e del diluvio in Genesi rielabora temi antichissimi presenti in molte letterature del medio oriente antico e dei popoli del mediterraneo. L’autore sacro reinterpreta questo tema che gli è pervenuto dalle sapienze dei popoli vicini alla luce della particolare esperienza del Dio di Israele. Come funziona la giustizia di Dio e come è possibile all’uomo il riscatto da una situazione definitivamente compromessa dal peccato e dall’escalation della violenza? A partire dal peccato di Adamo ed Eva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3) si è prodotta un’escalation di violenza che ha coinvolto due fratelli (Caino e Abele in </w:t>
      </w:r>
      <w:proofErr w:type="spellStart"/>
      <w:r w:rsidRPr="00041A74">
        <w:rPr>
          <w:rFonts w:ascii="Times New Roman" w:hAnsi="Times New Roman" w:cs="Times New Roman"/>
          <w:sz w:val="24"/>
          <w:szCs w:val="24"/>
        </w:rPr>
        <w:t>Gn</w:t>
      </w:r>
      <w:proofErr w:type="spellEnd"/>
      <w:r w:rsidRPr="00041A74">
        <w:rPr>
          <w:rFonts w:ascii="Times New Roman" w:hAnsi="Times New Roman" w:cs="Times New Roman"/>
          <w:sz w:val="24"/>
          <w:szCs w:val="24"/>
        </w:rPr>
        <w:t xml:space="preserve"> 4), per concludersi in una spirale di vendette senza possibilità di uscita </w:t>
      </w:r>
      <w:proofErr w:type="gramStart"/>
      <w:r w:rsidRPr="00041A74">
        <w:rPr>
          <w:rFonts w:ascii="Times New Roman" w:hAnsi="Times New Roman" w:cs="Times New Roman"/>
          <w:sz w:val="24"/>
          <w:szCs w:val="24"/>
        </w:rPr>
        <w:t>( cfr.</w:t>
      </w:r>
      <w:proofErr w:type="gramEnd"/>
      <w:r w:rsidRPr="00041A74">
        <w:rPr>
          <w:rFonts w:ascii="Times New Roman" w:hAnsi="Times New Roman" w:cs="Times New Roman"/>
          <w:sz w:val="24"/>
          <w:szCs w:val="24"/>
        </w:rPr>
        <w:t xml:space="preserve"> canto di </w:t>
      </w:r>
      <w:proofErr w:type="spellStart"/>
      <w:r w:rsidRPr="00041A74">
        <w:rPr>
          <w:rFonts w:ascii="Times New Roman" w:hAnsi="Times New Roman" w:cs="Times New Roman"/>
          <w:sz w:val="24"/>
          <w:szCs w:val="24"/>
        </w:rPr>
        <w:t>Lamech</w:t>
      </w:r>
      <w:proofErr w:type="spellEnd"/>
      <w:r w:rsidRPr="00041A74">
        <w:rPr>
          <w:rFonts w:ascii="Times New Roman" w:hAnsi="Times New Roman" w:cs="Times New Roman"/>
          <w:sz w:val="24"/>
          <w:szCs w:val="24"/>
        </w:rPr>
        <w:t xml:space="preserve"> in </w:t>
      </w:r>
      <w:proofErr w:type="spellStart"/>
      <w:r w:rsidRPr="00041A74">
        <w:rPr>
          <w:rFonts w:ascii="Times New Roman" w:hAnsi="Times New Roman" w:cs="Times New Roman"/>
          <w:sz w:val="24"/>
          <w:szCs w:val="24"/>
        </w:rPr>
        <w:t>Gn</w:t>
      </w:r>
      <w:proofErr w:type="spellEnd"/>
      <w:r w:rsidRPr="00041A74">
        <w:rPr>
          <w:rFonts w:ascii="Times New Roman" w:hAnsi="Times New Roman" w:cs="Times New Roman"/>
          <w:sz w:val="24"/>
          <w:szCs w:val="24"/>
        </w:rPr>
        <w:t xml:space="preserve"> 5, 23 – 24). La storia umana, appena iniziata, è subito spinta alla sua distruzione da un vettore di declino e violenza che sembra senza possibilità di rimedio. In questo senso è la stessa colpa e violenza umana a condurre l’uomo verso la sua distruzione. Come Dio si pone di fronte a questa messa in discussione del suo progetto di creazione?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In 6, 11 si dice che: “la terra era corrotta (</w:t>
      </w:r>
      <w:proofErr w:type="spellStart"/>
      <w:r w:rsidRPr="00041A74">
        <w:rPr>
          <w:rFonts w:ascii="Times New Roman" w:hAnsi="Times New Roman" w:cs="Times New Roman"/>
          <w:sz w:val="24"/>
          <w:szCs w:val="24"/>
        </w:rPr>
        <w:t>šḥt</w:t>
      </w:r>
      <w:proofErr w:type="spellEnd"/>
      <w:r w:rsidRPr="00041A74">
        <w:rPr>
          <w:rFonts w:ascii="Times New Roman" w:hAnsi="Times New Roman" w:cs="Times New Roman"/>
          <w:sz w:val="24"/>
          <w:szCs w:val="24"/>
        </w:rPr>
        <w:t>) davanti a Dio e piena di violenza”. In 6, 13 segue subito la decisione di Dio: “ecco io li distruggerò (</w:t>
      </w:r>
      <w:proofErr w:type="spellStart"/>
      <w:proofErr w:type="gramStart"/>
      <w:r w:rsidRPr="00041A74">
        <w:rPr>
          <w:rFonts w:ascii="Times New Roman" w:hAnsi="Times New Roman" w:cs="Times New Roman"/>
          <w:sz w:val="24"/>
          <w:szCs w:val="24"/>
        </w:rPr>
        <w:t>šḥt</w:t>
      </w:r>
      <w:proofErr w:type="spellEnd"/>
      <w:r w:rsidRPr="00041A74">
        <w:rPr>
          <w:rFonts w:ascii="Times New Roman" w:hAnsi="Times New Roman" w:cs="Times New Roman"/>
          <w:sz w:val="24"/>
          <w:szCs w:val="24"/>
        </w:rPr>
        <w:t>)  insieme</w:t>
      </w:r>
      <w:proofErr w:type="gramEnd"/>
      <w:r w:rsidRPr="00041A74">
        <w:rPr>
          <w:rFonts w:ascii="Times New Roman" w:hAnsi="Times New Roman" w:cs="Times New Roman"/>
          <w:sz w:val="24"/>
          <w:szCs w:val="24"/>
        </w:rPr>
        <w:t xml:space="preserve"> con la terra”.</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La ripresa della medesima radice verbale non è casuale, ma voluta dall’autore. Qui si vuol mostrare il senso profondo della giustizia di Dio, che non è punizione arbitraria, ma manifestazione delle conseguenze del peccato sull’umanità.  Dio non sta distruggendo l’umanità per un gusto sadico, né </w:t>
      </w:r>
      <w:proofErr w:type="spellStart"/>
      <w:r w:rsidRPr="00041A74">
        <w:rPr>
          <w:rFonts w:ascii="Times New Roman" w:hAnsi="Times New Roman" w:cs="Times New Roman"/>
          <w:sz w:val="24"/>
          <w:szCs w:val="24"/>
        </w:rPr>
        <w:lastRenderedPageBreak/>
        <w:t>perchè</w:t>
      </w:r>
      <w:proofErr w:type="spellEnd"/>
      <w:r w:rsidRPr="00041A74">
        <w:rPr>
          <w:rFonts w:ascii="Times New Roman" w:hAnsi="Times New Roman" w:cs="Times New Roman"/>
          <w:sz w:val="24"/>
          <w:szCs w:val="24"/>
        </w:rPr>
        <w:t xml:space="preserve"> giudice inflessibile, ma intende semplicemente rendere manifesta una corruzione, una distruzione, una morte, che l’umanità si era già autoinflitta (cfr. </w:t>
      </w:r>
      <w:proofErr w:type="spellStart"/>
      <w:r w:rsidRPr="00041A74">
        <w:rPr>
          <w:rFonts w:ascii="Times New Roman" w:hAnsi="Times New Roman" w:cs="Times New Roman"/>
          <w:sz w:val="24"/>
          <w:szCs w:val="24"/>
        </w:rPr>
        <w:t>Ger</w:t>
      </w:r>
      <w:proofErr w:type="spellEnd"/>
      <w:r w:rsidRPr="00041A74">
        <w:rPr>
          <w:rFonts w:ascii="Times New Roman" w:hAnsi="Times New Roman" w:cs="Times New Roman"/>
          <w:sz w:val="24"/>
          <w:szCs w:val="24"/>
        </w:rPr>
        <w:t xml:space="preserve"> 2, 30; 5, 25 - 31). Questa riflessione nasce dalla predicazione profetica. Essa infatti mostra un popolo che con il peccato si esclude dal rapporto vitale con il suo Dio e che per conseguenza subisce il castigo dell’invasione straniera e dell’esilio.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Il peccato e la violenza che corrompono il progetto creatore di Dio consistono nel rifiuto della differenza, anzitutto quella tra Dio e l’uomo (cfr. 6, 1 – 4). Dio con il diluvio intende manifestare proprio questa radice profonda, </w:t>
      </w:r>
      <w:proofErr w:type="spellStart"/>
      <w:r w:rsidRPr="00041A74">
        <w:rPr>
          <w:rFonts w:ascii="Times New Roman" w:hAnsi="Times New Roman" w:cs="Times New Roman"/>
          <w:sz w:val="24"/>
          <w:szCs w:val="24"/>
        </w:rPr>
        <w:t>anticreazionale</w:t>
      </w:r>
      <w:proofErr w:type="spellEnd"/>
      <w:r w:rsidRPr="00041A74">
        <w:rPr>
          <w:rFonts w:ascii="Times New Roman" w:hAnsi="Times New Roman" w:cs="Times New Roman"/>
          <w:sz w:val="24"/>
          <w:szCs w:val="24"/>
        </w:rPr>
        <w:t xml:space="preserve">, del peccato dell’uomo. Infatti il diluvio, permesso da Dio, non è altro che lo scatenarsi delle forze </w:t>
      </w:r>
      <w:proofErr w:type="spellStart"/>
      <w:r w:rsidRPr="00041A74">
        <w:rPr>
          <w:rFonts w:ascii="Times New Roman" w:hAnsi="Times New Roman" w:cs="Times New Roman"/>
          <w:sz w:val="24"/>
          <w:szCs w:val="24"/>
        </w:rPr>
        <w:t>anticreazionali</w:t>
      </w:r>
      <w:proofErr w:type="spellEnd"/>
      <w:r w:rsidRPr="00041A74">
        <w:rPr>
          <w:rFonts w:ascii="Times New Roman" w:hAnsi="Times New Roman" w:cs="Times New Roman"/>
          <w:sz w:val="24"/>
          <w:szCs w:val="24"/>
        </w:rPr>
        <w:t xml:space="preserve"> messe in certo modo in movimento dalla violenza umana poiché, nella concezione di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1 la separazione delle acque superiori da quelle inferiori costituisce l’opera del secondo giorno della creazione, presupposto per l’emersione della terra, e il diluvio finisce per ricongiungerle compromettendo fatalmente la vita sulla terra.  Se Dio crea separando, il diluvio distrugge ricongiungendo ed eliminando le differenze della creazione, così come il male aveva già operato, mettendo a rischio la differenza tra Dio e uomo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3, 22) e tra i fratelli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4).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La sapienza dell’autore biblico mostra però che mentre è in atto la linea del giudizio divino, la linea della misericordia e dell’alleanza non si interrompe, ma viene ristabilita attraverso l’obbedienza del servo Noè.  I dettagli costruttivi dell’arca (cfr. 6, 14 – 16), minuti e complessi, sono funzionali dal punto di vista narrativo a sottolineare l’obbedienza puntuale di Noè al comandamento divino. L’arca diviene il contenitore di una nuova creazione, dove la divisione secondo le specie e la specificazione della reciprocità del maschile e femminile, si riferiscono chiaramente al racconto di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1.  L’arca è il microcosmo di una nuova creazione che avviene grazie all’obbedienza del servo. Tale </w:t>
      </w:r>
      <w:proofErr w:type="spellStart"/>
      <w:r w:rsidRPr="00041A74">
        <w:rPr>
          <w:rFonts w:ascii="Times New Roman" w:hAnsi="Times New Roman" w:cs="Times New Roman"/>
          <w:sz w:val="24"/>
          <w:szCs w:val="24"/>
        </w:rPr>
        <w:t>ri</w:t>
      </w:r>
      <w:proofErr w:type="spellEnd"/>
      <w:r w:rsidRPr="00041A74">
        <w:rPr>
          <w:rFonts w:ascii="Times New Roman" w:hAnsi="Times New Roman" w:cs="Times New Roman"/>
          <w:sz w:val="24"/>
          <w:szCs w:val="24"/>
        </w:rPr>
        <w:t xml:space="preserve"> - creazione è dunque resa possibile dall’alleanza (</w:t>
      </w:r>
      <w:proofErr w:type="spellStart"/>
      <w:proofErr w:type="gramStart"/>
      <w:r w:rsidRPr="00041A74">
        <w:rPr>
          <w:rFonts w:ascii="Times New Roman" w:hAnsi="Times New Roman" w:cs="Times New Roman"/>
          <w:sz w:val="24"/>
          <w:szCs w:val="24"/>
        </w:rPr>
        <w:t>berit</w:t>
      </w:r>
      <w:proofErr w:type="spellEnd"/>
      <w:r w:rsidRPr="00041A74">
        <w:rPr>
          <w:rFonts w:ascii="Times New Roman" w:hAnsi="Times New Roman" w:cs="Times New Roman"/>
          <w:sz w:val="24"/>
          <w:szCs w:val="24"/>
        </w:rPr>
        <w:t xml:space="preserve"> )</w:t>
      </w:r>
      <w:proofErr w:type="gramEnd"/>
      <w:r w:rsidRPr="00041A74">
        <w:rPr>
          <w:rFonts w:ascii="Times New Roman" w:hAnsi="Times New Roman" w:cs="Times New Roman"/>
          <w:sz w:val="24"/>
          <w:szCs w:val="24"/>
        </w:rPr>
        <w:t xml:space="preserve"> che Dio rinnova con il suo servo e la nuova creazione porta con se un ristabilimento della differenza creatrice, quella dell’umanità con Dio, del cielo e della terra e delle creature tra loro, secondo le loro specie.   Al c. 9 la benedizione di Dio su Noè ha i tratti della benedizione originale su Adamo ed Eva (cfr.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9, 1a). Ma ci sono dei dettagli aggiuntivi. La paura di ogni essere vivente nei confronti dell’uomo.  La concessione data all’uomo di mangiare carne, senza sangue. La minaccia giuridica relativa all’omicidio. La nuova creazione è stata ristabilita ma la traccia del peccato rimane attraverso le indicazioni della legge, argine necessario e pur sempre parziale nei confronti dell’esplodere della violenza dell’uomo contro l’uomo.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La formulazione ricorda la legge del taglione: “chi sparge il sangue dell’uomo, dall’uomo il suo sangue sarà sparso”. Nel vangelo di Matteo la stessa legge viene citata da Gesù quando impedisce a </w:t>
      </w:r>
      <w:r w:rsidRPr="00041A74">
        <w:rPr>
          <w:rFonts w:ascii="Times New Roman" w:hAnsi="Times New Roman" w:cs="Times New Roman"/>
          <w:sz w:val="24"/>
          <w:szCs w:val="24"/>
        </w:rPr>
        <w:lastRenderedPageBreak/>
        <w:t xml:space="preserve">Pietro di vendicare l’arresto di Gesù e di rimettere la spada nel fodero (cfr. 26, 52).  Gesù riprende questa legge, per portarne a compimento il significato nascosto. Dio reagisce alla violenza dell’uomo con un’alleanza ancora più radicale, fondata su un bene e un amore senza condizioni, manifestati dal servo innocente. Gesù è il servo innocente il cui sangue è stato sparso (cfr. 27, 4) ma quel sangue, lungi dal gridare vendetta presso Dio, è il sangue attraverso cui si compie il perdono dei peccati (cfr. 26, 28).  Anche il popolo di Israele, peccatore, chiede che venga riversato su di lui il sangue innocente. Se dal punto di vista del personaggio “popolo” questo indica la piena responsabilità nella condanna di Gesù e dunque la piena manifestazione del peccato, dal punto di vista del lettore, che sa che il sangue di Gesù è versato per il perdono dei peccati, questa affermazione del popolo di Israele viene paradossalmente e ironicamente ribaltata nel suo significato. Non si tratta qui di punire il popolo di Israele, ma di un perdono incondizionato, offerto da Dio attraverso il sangue di Gesù. Al compimento della redenzione si ribalta il senso stesso della giustizia retributiva nella gratuità della redenzione. Qui il superamento della violenza è ormai definitivo e il progetto creativo di Dio si rivela come da sempre orientato al perdono e alla vita. La resurrezione è il sigillo della redenzione ed è una nuova creazione, con le relazioni di </w:t>
      </w:r>
      <w:proofErr w:type="spellStart"/>
      <w:r w:rsidRPr="00041A74">
        <w:rPr>
          <w:rFonts w:ascii="Times New Roman" w:hAnsi="Times New Roman" w:cs="Times New Roman"/>
          <w:sz w:val="24"/>
          <w:szCs w:val="24"/>
        </w:rPr>
        <w:t>sponsalità</w:t>
      </w:r>
      <w:proofErr w:type="spellEnd"/>
      <w:r w:rsidRPr="00041A74">
        <w:rPr>
          <w:rFonts w:ascii="Times New Roman" w:hAnsi="Times New Roman" w:cs="Times New Roman"/>
          <w:sz w:val="24"/>
          <w:szCs w:val="24"/>
        </w:rPr>
        <w:t xml:space="preserve"> e fraternità e genitorialità radicalmente rinnovate. L’incontro con Gesù risorto da parte delle donne (28, 8 – 10), la fraternità ritrovata con i discepoli (v. 10), il mandato missionario che renda possibile una nuova generazione di discepoli tra tutti i popoli (v. 16 – 20). </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keepNext/>
        <w:keepLines/>
        <w:spacing w:before="200" w:after="0"/>
        <w:outlineLvl w:val="1"/>
        <w:rPr>
          <w:rFonts w:ascii="Times New Roman" w:eastAsiaTheme="majorEastAsia" w:hAnsi="Times New Roman" w:cs="Times New Roman"/>
          <w:b/>
          <w:bCs/>
          <w:color w:val="4F81BD" w:themeColor="accent1"/>
          <w:sz w:val="24"/>
          <w:szCs w:val="24"/>
        </w:rPr>
      </w:pPr>
      <w:bookmarkStart w:id="2" w:name="_Toc374449816"/>
      <w:r w:rsidRPr="00041A74">
        <w:rPr>
          <w:rFonts w:ascii="Times New Roman" w:eastAsiaTheme="majorEastAsia" w:hAnsi="Times New Roman" w:cs="Times New Roman"/>
          <w:bCs/>
          <w:i/>
          <w:color w:val="4F81BD" w:themeColor="accent1"/>
          <w:sz w:val="24"/>
          <w:szCs w:val="24"/>
        </w:rPr>
        <w:t xml:space="preserve">4. </w:t>
      </w:r>
      <w:proofErr w:type="gramStart"/>
      <w:r w:rsidRPr="00041A74">
        <w:rPr>
          <w:rFonts w:ascii="Times New Roman" w:eastAsiaTheme="majorEastAsia" w:hAnsi="Times New Roman" w:cs="Times New Roman"/>
          <w:bCs/>
          <w:i/>
          <w:color w:val="4F81BD" w:themeColor="accent1"/>
          <w:sz w:val="24"/>
          <w:szCs w:val="24"/>
        </w:rPr>
        <w:t>1  Tipologia</w:t>
      </w:r>
      <w:proofErr w:type="gramEnd"/>
      <w:r w:rsidRPr="00041A74">
        <w:rPr>
          <w:rFonts w:ascii="Times New Roman" w:eastAsiaTheme="majorEastAsia" w:hAnsi="Times New Roman" w:cs="Times New Roman"/>
          <w:bCs/>
          <w:i/>
          <w:color w:val="4F81BD" w:themeColor="accent1"/>
          <w:sz w:val="24"/>
          <w:szCs w:val="24"/>
        </w:rPr>
        <w:t xml:space="preserve"> ed allegoria</w:t>
      </w:r>
      <w:r w:rsidRPr="00041A74">
        <w:rPr>
          <w:rFonts w:ascii="Times New Roman" w:eastAsiaTheme="majorEastAsia" w:hAnsi="Times New Roman" w:cs="Times New Roman"/>
          <w:b/>
          <w:bCs/>
          <w:color w:val="4F81BD" w:themeColor="accent1"/>
          <w:sz w:val="24"/>
          <w:szCs w:val="24"/>
        </w:rPr>
        <w:t>.</w:t>
      </w:r>
      <w:bookmarkEnd w:id="2"/>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 L’allegoria è un procedimento interpretative e letterario che consente di individuare all’interno di un testo non solo il senso letterale, ma anche un senso ulteriore in un piano superiore, in cui ad ogni elemento del testo corrisponda un elemento nel piano superiore. ESEMPIO: Agostino (cfr. Commento al Vangelo di Giovanni V) da </w:t>
      </w:r>
      <w:proofErr w:type="spellStart"/>
      <w:r w:rsidRPr="00041A74">
        <w:rPr>
          <w:rFonts w:ascii="Times New Roman" w:hAnsi="Times New Roman" w:cs="Times New Roman"/>
          <w:sz w:val="24"/>
          <w:szCs w:val="24"/>
        </w:rPr>
        <w:t>Gv</w:t>
      </w:r>
      <w:proofErr w:type="spellEnd"/>
      <w:r w:rsidRPr="00041A74">
        <w:rPr>
          <w:rFonts w:ascii="Times New Roman" w:hAnsi="Times New Roman" w:cs="Times New Roman"/>
          <w:sz w:val="24"/>
          <w:szCs w:val="24"/>
        </w:rPr>
        <w:t xml:space="preserve"> 1, 32: “ho visto lo Spirito scendere su di lui e rimanere” argomenta il fatto che quando un ministro battezza è in realtà Cristo che battezza. Come può giungere ad una conclusione su questo diverso livello? Perché il battesimo di Cristo viene allegoricamente collegato al battesimo cristiano. Allora se lo Spirito rimane su Cristo questo significa che nel battesimo </w:t>
      </w:r>
      <w:proofErr w:type="gramStart"/>
      <w:r w:rsidRPr="00041A74">
        <w:rPr>
          <w:rFonts w:ascii="Times New Roman" w:hAnsi="Times New Roman" w:cs="Times New Roman"/>
          <w:sz w:val="24"/>
          <w:szCs w:val="24"/>
        </w:rPr>
        <w:t>( attraverso</w:t>
      </w:r>
      <w:proofErr w:type="gramEnd"/>
      <w:r w:rsidRPr="00041A74">
        <w:rPr>
          <w:rFonts w:ascii="Times New Roman" w:hAnsi="Times New Roman" w:cs="Times New Roman"/>
          <w:sz w:val="24"/>
          <w:szCs w:val="24"/>
        </w:rPr>
        <w:t xml:space="preserve"> cui nascono nuovi cristiani e quindi la nasce Chiesa stessa ) colui che battezza, ossia che dona lo Spirito è sempre Cristo. Quindi anche se un ministro umano è infedele o peccatore il battesimo è valido lo stesso, perché in realtà è Cristo che battezza </w:t>
      </w:r>
      <w:proofErr w:type="gramStart"/>
      <w:r w:rsidRPr="00041A74">
        <w:rPr>
          <w:rFonts w:ascii="Times New Roman" w:hAnsi="Times New Roman" w:cs="Times New Roman"/>
          <w:sz w:val="24"/>
          <w:szCs w:val="24"/>
        </w:rPr>
        <w:t>( contro</w:t>
      </w:r>
      <w:proofErr w:type="gramEnd"/>
      <w:r w:rsidRPr="00041A74">
        <w:rPr>
          <w:rFonts w:ascii="Times New Roman" w:hAnsi="Times New Roman" w:cs="Times New Roman"/>
          <w:sz w:val="24"/>
          <w:szCs w:val="24"/>
        </w:rPr>
        <w:t xml:space="preserve"> le tesi donatiste).</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lastRenderedPageBreak/>
        <w:t xml:space="preserve">La tipologia invece è un procedimento che nasce dalla storia, e che mette in collegamento un “tipo” o figura, situato precedentemente, con un anti – tipo </w:t>
      </w:r>
      <w:proofErr w:type="gramStart"/>
      <w:r w:rsidRPr="00041A74">
        <w:rPr>
          <w:rFonts w:ascii="Times New Roman" w:hAnsi="Times New Roman" w:cs="Times New Roman"/>
          <w:sz w:val="24"/>
          <w:szCs w:val="24"/>
        </w:rPr>
        <w:t>( in</w:t>
      </w:r>
      <w:proofErr w:type="gramEnd"/>
      <w:r w:rsidRPr="00041A74">
        <w:rPr>
          <w:rFonts w:ascii="Times New Roman" w:hAnsi="Times New Roman" w:cs="Times New Roman"/>
          <w:sz w:val="24"/>
          <w:szCs w:val="24"/>
        </w:rPr>
        <w:t xml:space="preserve"> rapporto di compimento, come continuità/discontinuità).</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keepNext/>
        <w:keepLines/>
        <w:spacing w:before="200" w:after="0"/>
        <w:outlineLvl w:val="1"/>
        <w:rPr>
          <w:rFonts w:ascii="Times New Roman" w:eastAsiaTheme="majorEastAsia" w:hAnsi="Times New Roman" w:cs="Times New Roman"/>
          <w:b/>
          <w:bCs/>
          <w:i/>
          <w:color w:val="4F81BD" w:themeColor="accent1"/>
          <w:sz w:val="24"/>
          <w:szCs w:val="24"/>
        </w:rPr>
      </w:pPr>
      <w:bookmarkStart w:id="3" w:name="_Toc374449817"/>
      <w:r w:rsidRPr="00041A74">
        <w:rPr>
          <w:rFonts w:ascii="Times New Roman" w:eastAsiaTheme="majorEastAsia" w:hAnsi="Times New Roman" w:cs="Times New Roman"/>
          <w:bCs/>
          <w:i/>
          <w:color w:val="4F81BD" w:themeColor="accent1"/>
          <w:sz w:val="24"/>
          <w:szCs w:val="24"/>
        </w:rPr>
        <w:t xml:space="preserve">4. </w:t>
      </w:r>
      <w:proofErr w:type="gramStart"/>
      <w:r w:rsidRPr="00041A74">
        <w:rPr>
          <w:rFonts w:ascii="Times New Roman" w:eastAsiaTheme="majorEastAsia" w:hAnsi="Times New Roman" w:cs="Times New Roman"/>
          <w:bCs/>
          <w:i/>
          <w:color w:val="4F81BD" w:themeColor="accent1"/>
          <w:sz w:val="24"/>
          <w:szCs w:val="24"/>
        </w:rPr>
        <w:t>2  Analisi</w:t>
      </w:r>
      <w:proofErr w:type="gramEnd"/>
      <w:r w:rsidRPr="00041A74">
        <w:rPr>
          <w:rFonts w:ascii="Times New Roman" w:eastAsiaTheme="majorEastAsia" w:hAnsi="Times New Roman" w:cs="Times New Roman"/>
          <w:bCs/>
          <w:i/>
          <w:color w:val="4F81BD" w:themeColor="accent1"/>
          <w:sz w:val="24"/>
          <w:szCs w:val="24"/>
        </w:rPr>
        <w:t xml:space="preserve"> narrativa</w:t>
      </w:r>
      <w:bookmarkEnd w:id="3"/>
    </w:p>
    <w:p w:rsidR="00041A74" w:rsidRPr="00041A74" w:rsidRDefault="00041A74" w:rsidP="00041A74">
      <w:pPr>
        <w:keepNext/>
        <w:keepLines/>
        <w:spacing w:before="200" w:after="0"/>
        <w:outlineLvl w:val="1"/>
        <w:rPr>
          <w:rFonts w:ascii="Times New Roman" w:eastAsiaTheme="majorEastAsia" w:hAnsi="Times New Roman" w:cs="Times New Roman"/>
          <w:b/>
          <w:bCs/>
          <w:color w:val="4F81BD" w:themeColor="accent1"/>
          <w:sz w:val="24"/>
          <w:szCs w:val="24"/>
        </w:rPr>
      </w:pPr>
      <w:bookmarkStart w:id="4" w:name="_Toc374449818"/>
      <w:r w:rsidRPr="00041A74">
        <w:rPr>
          <w:rFonts w:ascii="Times New Roman" w:eastAsiaTheme="majorEastAsia" w:hAnsi="Times New Roman" w:cs="Times New Roman"/>
          <w:b/>
          <w:bCs/>
          <w:color w:val="4F81BD" w:themeColor="accent1"/>
          <w:sz w:val="24"/>
          <w:szCs w:val="24"/>
        </w:rPr>
        <w:t xml:space="preserve">Interpretazione della Bibbia nella Chiesa (P.C.B. 1993; 1281 – 1284 </w:t>
      </w:r>
      <w:proofErr w:type="spellStart"/>
      <w:r w:rsidRPr="00041A74">
        <w:rPr>
          <w:rFonts w:ascii="Times New Roman" w:eastAsiaTheme="majorEastAsia" w:hAnsi="Times New Roman" w:cs="Times New Roman"/>
          <w:b/>
          <w:bCs/>
          <w:color w:val="4F81BD" w:themeColor="accent1"/>
          <w:sz w:val="24"/>
          <w:szCs w:val="24"/>
        </w:rPr>
        <w:t>Enchiridium</w:t>
      </w:r>
      <w:proofErr w:type="spellEnd"/>
      <w:r w:rsidRPr="00041A74">
        <w:rPr>
          <w:rFonts w:ascii="Times New Roman" w:eastAsiaTheme="majorEastAsia" w:hAnsi="Times New Roman" w:cs="Times New Roman"/>
          <w:b/>
          <w:bCs/>
          <w:color w:val="4F81BD" w:themeColor="accent1"/>
          <w:sz w:val="24"/>
          <w:szCs w:val="24"/>
        </w:rPr>
        <w:t xml:space="preserve"> </w:t>
      </w:r>
      <w:proofErr w:type="spellStart"/>
      <w:r w:rsidRPr="00041A74">
        <w:rPr>
          <w:rFonts w:ascii="Times New Roman" w:eastAsiaTheme="majorEastAsia" w:hAnsi="Times New Roman" w:cs="Times New Roman"/>
          <w:b/>
          <w:bCs/>
          <w:color w:val="4F81BD" w:themeColor="accent1"/>
          <w:sz w:val="24"/>
          <w:szCs w:val="24"/>
        </w:rPr>
        <w:t>Biblicum</w:t>
      </w:r>
      <w:proofErr w:type="spellEnd"/>
      <w:r w:rsidRPr="00041A74">
        <w:rPr>
          <w:rFonts w:ascii="Times New Roman" w:eastAsiaTheme="majorEastAsia" w:hAnsi="Times New Roman" w:cs="Times New Roman"/>
          <w:b/>
          <w:bCs/>
          <w:color w:val="4F81BD" w:themeColor="accent1"/>
          <w:sz w:val="24"/>
          <w:szCs w:val="24"/>
        </w:rPr>
        <w:t xml:space="preserve"> 1305 - 1309).</w:t>
      </w:r>
      <w:bookmarkEnd w:id="4"/>
      <w:r w:rsidRPr="00041A74">
        <w:rPr>
          <w:rFonts w:ascii="Times New Roman" w:eastAsiaTheme="majorEastAsia" w:hAnsi="Times New Roman" w:cs="Times New Roman"/>
          <w:b/>
          <w:bCs/>
          <w:color w:val="4F81BD" w:themeColor="accent1"/>
          <w:sz w:val="24"/>
          <w:szCs w:val="24"/>
        </w:rPr>
        <w:t xml:space="preserve"> </w:t>
      </w:r>
    </w:p>
    <w:p w:rsidR="00041A74" w:rsidRPr="00041A74" w:rsidRDefault="00041A74" w:rsidP="00041A74">
      <w:pPr>
        <w:spacing w:line="360" w:lineRule="auto"/>
        <w:jc w:val="both"/>
        <w:rPr>
          <w:rFonts w:ascii="Times New Roman" w:hAnsi="Times New Roman" w:cs="Times New Roman"/>
          <w:i/>
          <w:sz w:val="24"/>
          <w:szCs w:val="24"/>
        </w:rPr>
      </w:pPr>
      <w:r w:rsidRPr="00041A74">
        <w:rPr>
          <w:rFonts w:ascii="Times New Roman" w:hAnsi="Times New Roman" w:cs="Times New Roman"/>
          <w:i/>
          <w:sz w:val="24"/>
          <w:szCs w:val="24"/>
        </w:rPr>
        <w:t>L’esegesi narrativa propone un metodo di comprensione e di comunicazione del messaggio biblico che corrisponde alla forma del racconto e della testimonianza, modalità fondamentale della comunicazione tra persone umane, caratteristica anche della Sacra Scrittura. L’Antico Testamento, infatti, presenta una storia della salvezza il cui racconto efficace diventa sostanza della professione di fede, della liturgia e della catechesi (</w:t>
      </w:r>
      <w:proofErr w:type="spellStart"/>
      <w:r w:rsidRPr="00041A74">
        <w:rPr>
          <w:rFonts w:ascii="Times New Roman" w:hAnsi="Times New Roman" w:cs="Times New Roman"/>
          <w:i/>
          <w:sz w:val="24"/>
          <w:szCs w:val="24"/>
        </w:rPr>
        <w:t>cf</w:t>
      </w:r>
      <w:proofErr w:type="spellEnd"/>
      <w:r w:rsidRPr="00041A74">
        <w:rPr>
          <w:rFonts w:ascii="Times New Roman" w:hAnsi="Times New Roman" w:cs="Times New Roman"/>
          <w:i/>
          <w:sz w:val="24"/>
          <w:szCs w:val="24"/>
        </w:rPr>
        <w:t xml:space="preserve">. </w:t>
      </w:r>
      <w:proofErr w:type="spellStart"/>
      <w:r w:rsidRPr="00041A74">
        <w:rPr>
          <w:rFonts w:ascii="Times New Roman" w:hAnsi="Times New Roman" w:cs="Times New Roman"/>
          <w:i/>
          <w:sz w:val="24"/>
          <w:szCs w:val="24"/>
        </w:rPr>
        <w:t>Sal</w:t>
      </w:r>
      <w:proofErr w:type="spellEnd"/>
      <w:r w:rsidRPr="00041A74">
        <w:rPr>
          <w:rFonts w:ascii="Times New Roman" w:hAnsi="Times New Roman" w:cs="Times New Roman"/>
          <w:i/>
          <w:sz w:val="24"/>
          <w:szCs w:val="24"/>
        </w:rPr>
        <w:t xml:space="preserve"> 78, 3-4; Es 12, 24-27; </w:t>
      </w:r>
      <w:proofErr w:type="spellStart"/>
      <w:r w:rsidRPr="00041A74">
        <w:rPr>
          <w:rFonts w:ascii="Times New Roman" w:hAnsi="Times New Roman" w:cs="Times New Roman"/>
          <w:i/>
          <w:sz w:val="24"/>
          <w:szCs w:val="24"/>
        </w:rPr>
        <w:t>Dt</w:t>
      </w:r>
      <w:proofErr w:type="spellEnd"/>
      <w:r w:rsidRPr="00041A74">
        <w:rPr>
          <w:rFonts w:ascii="Times New Roman" w:hAnsi="Times New Roman" w:cs="Times New Roman"/>
          <w:i/>
          <w:sz w:val="24"/>
          <w:szCs w:val="24"/>
        </w:rPr>
        <w:t xml:space="preserve"> 6, 20-25; 26, 5-10). Da parte sua, la proclamazione del </w:t>
      </w:r>
      <w:proofErr w:type="spellStart"/>
      <w:r w:rsidRPr="00041A74">
        <w:rPr>
          <w:rFonts w:ascii="Times New Roman" w:hAnsi="Times New Roman" w:cs="Times New Roman"/>
          <w:i/>
          <w:sz w:val="24"/>
          <w:szCs w:val="24"/>
        </w:rPr>
        <w:t>kerigma</w:t>
      </w:r>
      <w:proofErr w:type="spellEnd"/>
      <w:r w:rsidRPr="00041A74">
        <w:rPr>
          <w:rFonts w:ascii="Times New Roman" w:hAnsi="Times New Roman" w:cs="Times New Roman"/>
          <w:i/>
          <w:sz w:val="24"/>
          <w:szCs w:val="24"/>
        </w:rPr>
        <w:t xml:space="preserve"> cristiano comprende la sequenza narrativa della vita, della morte della risurrezione di Gesù Cristo, eventi di cui i vangeli ci offrono il racconto dettagliato. La catechesi si presenta, anch’essa, sotto forma narrativa (</w:t>
      </w:r>
      <w:proofErr w:type="spellStart"/>
      <w:r w:rsidRPr="00041A74">
        <w:rPr>
          <w:rFonts w:ascii="Times New Roman" w:hAnsi="Times New Roman" w:cs="Times New Roman"/>
          <w:i/>
          <w:sz w:val="24"/>
          <w:szCs w:val="24"/>
        </w:rPr>
        <w:t>cf</w:t>
      </w:r>
      <w:proofErr w:type="spellEnd"/>
      <w:r w:rsidRPr="00041A74">
        <w:rPr>
          <w:rFonts w:ascii="Times New Roman" w:hAnsi="Times New Roman" w:cs="Times New Roman"/>
          <w:i/>
          <w:sz w:val="24"/>
          <w:szCs w:val="24"/>
        </w:rPr>
        <w:t>. 1Cor 11, 23-25).   Riguardo all’approccio narrativo, è opportuno distinguere metodi di analisi e riflessione teologica.  Attualmente vengono proposti numerosi metodi di analisi. Alcuni partono dallo studio dei modelli narrativi antichi. Altri si basano sull’una o l’altra “narratologia” attuale, che può avere dei punti in comune con la semiotica. Particolarmente attenta agli elementi del testo che riguardano l’intreccio, i personaggi e il punto di vista del narratore, l’analisi narrativa studia il modo in cui la storia viene raccontata così da coinvolgere il lettore nel “mondo del racconto” e nel suo sistema di valori.   Parecchi metodi introducono una distinzione tra “autore reale” e “autore implicito”, “lettore reale” e “lettore implicito”. L</w:t>
      </w:r>
      <w:proofErr w:type="gramStart"/>
      <w:r w:rsidRPr="00041A74">
        <w:rPr>
          <w:rFonts w:ascii="Times New Roman" w:hAnsi="Times New Roman" w:cs="Times New Roman"/>
          <w:i/>
          <w:sz w:val="24"/>
          <w:szCs w:val="24"/>
        </w:rPr>
        <w:t>’“</w:t>
      </w:r>
      <w:proofErr w:type="gramEnd"/>
      <w:r w:rsidRPr="00041A74">
        <w:rPr>
          <w:rFonts w:ascii="Times New Roman" w:hAnsi="Times New Roman" w:cs="Times New Roman"/>
          <w:i/>
          <w:sz w:val="24"/>
          <w:szCs w:val="24"/>
        </w:rPr>
        <w:t xml:space="preserve">autore reale” è la persona che ha composto il racconto. Con “autore implicito” si indica l’immagine di autore che il testo genera progressivamente nel corso della lettura (con la sua cultura, il suo temperamento, le sue tendenze, la sua fede, ecc.). Si chiama “lettore reale” ogni persona che ha accesso al testo, dai primi destinatari che l’hanno letto o sentito leggere fino ai lettori o ascoltatori di oggi. Per “lettore implicito” si intende colui che il testo presuppone e produce, colui che è capace di effettuare le operazioni mentali e affettive richieste per entrare nel mondo del racconto e rispondervi nel modo voluto dall’autore reale </w:t>
      </w:r>
      <w:r w:rsidRPr="00041A74">
        <w:rPr>
          <w:rFonts w:ascii="Times New Roman" w:hAnsi="Times New Roman" w:cs="Times New Roman"/>
          <w:i/>
          <w:sz w:val="24"/>
          <w:szCs w:val="24"/>
        </w:rPr>
        <w:lastRenderedPageBreak/>
        <w:t>attraverso l’autore implicito.</w:t>
      </w:r>
      <w:r w:rsidR="00C87739">
        <w:rPr>
          <w:rFonts w:ascii="Times New Roman" w:hAnsi="Times New Roman" w:cs="Times New Roman"/>
          <w:i/>
          <w:sz w:val="24"/>
          <w:szCs w:val="24"/>
        </w:rPr>
        <w:t xml:space="preserve"> </w:t>
      </w:r>
      <w:r w:rsidRPr="00041A74">
        <w:rPr>
          <w:rFonts w:ascii="Times New Roman" w:hAnsi="Times New Roman" w:cs="Times New Roman"/>
          <w:i/>
          <w:sz w:val="24"/>
          <w:szCs w:val="24"/>
        </w:rPr>
        <w:t xml:space="preserve">Un testo continua a esercitare la sua influenza nella misura in cui i lettori reali (per esempio noi stessi, alla fine del XX secolo) possono identificarsi con il lettore implicito. Uno dei compiti principali dell’esegesi è quello di facilitare questa identificazione.   All’analisi narrativa si collega un modo nuovo di valutare la portata dei testi. Mentre il metodo storico-critico considera piuttosto il testo come una “finestra”, che permette di dedicarsi a varie osservazioni su una determinata epoca (non soltanto sui fatti raccontati, ma anche sulla situazione della comunità per la quale sono stati raccontati), si sottolinea che il testo funziona anche come “specchio”, nel senso che presenta una certa immagine di mondo, il “mondo del racconto”, che esercita la sua influenza sui modi di vedere del lettore e lo porta ad adottare certi valori piuttosto che altri.   </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Cos’è una trama: sistematizzazione degli avvenimenti che costituiscono la storia raccontata: questi avvenimenti sono collegati l’uno all’altro tramite il nesso di causalità (è la configurazione) e inseriti in un processo cronologico (è la consecuzione degli avvenimenti).  La trama è costituita da una trasformazione che conduce un soggetto da uno stato iniziale ad uno stato finale. Si distinguono cinque passi. Situazione iniziale; complicazione; Azione trasformatrice; soluzione; Situazione finale.</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b/>
          <w:sz w:val="24"/>
          <w:szCs w:val="24"/>
        </w:rPr>
        <w:t>Trama di rivelazione</w:t>
      </w:r>
      <w:r w:rsidRPr="00041A74">
        <w:rPr>
          <w:rFonts w:ascii="Times New Roman" w:hAnsi="Times New Roman" w:cs="Times New Roman"/>
          <w:sz w:val="24"/>
          <w:szCs w:val="24"/>
        </w:rPr>
        <w:t>: trama la cui azione trasformatrice consiste in un aumento di conoscenza su un personaggio della storia raccontata.</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b/>
          <w:sz w:val="24"/>
          <w:szCs w:val="24"/>
        </w:rPr>
        <w:t>Trama di risoluzione</w:t>
      </w:r>
      <w:r w:rsidRPr="00041A74">
        <w:rPr>
          <w:rFonts w:ascii="Times New Roman" w:hAnsi="Times New Roman" w:cs="Times New Roman"/>
          <w:sz w:val="24"/>
          <w:szCs w:val="24"/>
        </w:rPr>
        <w:t>: trama la cui azione trasformatrice opera sul piano pragmatico (di ciò che accade).</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b/>
          <w:sz w:val="24"/>
          <w:szCs w:val="24"/>
        </w:rPr>
        <w:t>Tensione drammatica</w:t>
      </w:r>
      <w:r w:rsidRPr="00041A74">
        <w:rPr>
          <w:rFonts w:ascii="Times New Roman" w:hAnsi="Times New Roman" w:cs="Times New Roman"/>
          <w:sz w:val="24"/>
          <w:szCs w:val="24"/>
        </w:rPr>
        <w:t>: intensità emozionale o pragmatica</w:t>
      </w:r>
      <w:r w:rsidR="00C87739">
        <w:rPr>
          <w:rFonts w:ascii="Times New Roman" w:hAnsi="Times New Roman" w:cs="Times New Roman"/>
          <w:sz w:val="24"/>
          <w:szCs w:val="24"/>
        </w:rPr>
        <w:t xml:space="preserve"> </w:t>
      </w:r>
      <w:proofErr w:type="gramStart"/>
      <w:r w:rsidRPr="00041A74">
        <w:rPr>
          <w:rFonts w:ascii="Times New Roman" w:hAnsi="Times New Roman" w:cs="Times New Roman"/>
          <w:sz w:val="24"/>
          <w:szCs w:val="24"/>
        </w:rPr>
        <w:t>( di</w:t>
      </w:r>
      <w:proofErr w:type="gramEnd"/>
      <w:r w:rsidRPr="00041A74">
        <w:rPr>
          <w:rFonts w:ascii="Times New Roman" w:hAnsi="Times New Roman" w:cs="Times New Roman"/>
          <w:sz w:val="24"/>
          <w:szCs w:val="24"/>
        </w:rPr>
        <w:t xml:space="preserve"> azione) del racconto.</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b/>
          <w:sz w:val="24"/>
          <w:szCs w:val="24"/>
        </w:rPr>
        <w:t>Focalizzazione:</w:t>
      </w:r>
      <w:r w:rsidRPr="00041A74">
        <w:rPr>
          <w:rFonts w:ascii="Times New Roman" w:hAnsi="Times New Roman" w:cs="Times New Roman"/>
          <w:sz w:val="24"/>
          <w:szCs w:val="24"/>
        </w:rPr>
        <w:t xml:space="preserve"> scelta di una prospettiva da cui narrare il racconto. Può essere interna ad un personaggio, esterna (coincidente con l’azione che si svolge), oppure zero (trasgredisce i limiti del tempo e dello spazio della scena).</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rPr>
          <w:rFonts w:ascii="Times New Roman" w:hAnsi="Times New Roman" w:cs="Times New Roman"/>
          <w:sz w:val="24"/>
          <w:szCs w:val="24"/>
        </w:rPr>
      </w:pPr>
    </w:p>
    <w:p w:rsidR="00041A74" w:rsidRPr="00041A74" w:rsidRDefault="00041A74" w:rsidP="00041A74">
      <w:pPr>
        <w:keepNext/>
        <w:keepLines/>
        <w:spacing w:before="200" w:after="0"/>
        <w:outlineLvl w:val="1"/>
        <w:rPr>
          <w:rFonts w:ascii="Times New Roman" w:eastAsiaTheme="majorEastAsia" w:hAnsi="Times New Roman" w:cs="Times New Roman"/>
          <w:bCs/>
          <w:i/>
          <w:color w:val="4F81BD" w:themeColor="accent1"/>
          <w:sz w:val="24"/>
          <w:szCs w:val="24"/>
        </w:rPr>
      </w:pPr>
      <w:bookmarkStart w:id="5" w:name="_Toc374449819"/>
      <w:r w:rsidRPr="00041A74">
        <w:rPr>
          <w:rFonts w:ascii="Times New Roman" w:eastAsiaTheme="majorEastAsia" w:hAnsi="Times New Roman" w:cs="Times New Roman"/>
          <w:bCs/>
          <w:i/>
          <w:color w:val="4F81BD" w:themeColor="accent1"/>
          <w:sz w:val="24"/>
          <w:szCs w:val="24"/>
        </w:rPr>
        <w:lastRenderedPageBreak/>
        <w:t>4. 3 Il sacrificio di Isacco</w:t>
      </w:r>
      <w:bookmarkEnd w:id="5"/>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La pericope è piuttosto isolata nel contesto della narrazione del ciclo di Abramo. L’unico coll</w:t>
      </w:r>
      <w:r w:rsidR="00C87739">
        <w:rPr>
          <w:rFonts w:ascii="Times New Roman" w:hAnsi="Times New Roman" w:cs="Times New Roman"/>
          <w:sz w:val="24"/>
          <w:szCs w:val="24"/>
        </w:rPr>
        <w:t xml:space="preserve">egamento tra ciò che precede e </w:t>
      </w:r>
      <w:r w:rsidRPr="00041A74">
        <w:rPr>
          <w:rFonts w:ascii="Times New Roman" w:hAnsi="Times New Roman" w:cs="Times New Roman"/>
          <w:sz w:val="24"/>
          <w:szCs w:val="24"/>
        </w:rPr>
        <w:t>ciò che segue è costituito dalla notazione geografica relativa a Bersabea (cfr. 21, 33; 22, 19).</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Fin dal versetto 1 il narratore intende che si tratta di una vera e propria prova da parte di Dio. Si usa qui un termine tecnico, con il quale si indica un procedimento che avviene nel contesto di una contesa tra due parti in causa, tramite la quale una parte vuole ottenere dall’altra la garanzia della sua innocenza (cfr. uso delle concordanze). Può essere sia una iniziativa divina, che ad esempio attraverso il dono della manna, razionata giorno per giorno, vuole mettere alla prova la fedeltà di Israele (cfr. Es 16, 4), o un’iniziativa del popolo, come a Massa e </w:t>
      </w:r>
      <w:proofErr w:type="spellStart"/>
      <w:r w:rsidRPr="00041A74">
        <w:rPr>
          <w:rFonts w:ascii="Times New Roman" w:hAnsi="Times New Roman" w:cs="Times New Roman"/>
          <w:sz w:val="24"/>
          <w:szCs w:val="24"/>
        </w:rPr>
        <w:t>Meriba</w:t>
      </w:r>
      <w:proofErr w:type="spellEnd"/>
      <w:r w:rsidRPr="00041A74">
        <w:rPr>
          <w:rFonts w:ascii="Times New Roman" w:hAnsi="Times New Roman" w:cs="Times New Roman"/>
          <w:sz w:val="24"/>
          <w:szCs w:val="24"/>
        </w:rPr>
        <w:t>, dove viene messo alla prova Dio, per avere la garanzia che egli sia proprio in mezzo a loro, atteggiamento che viene qualificato come mancanza di fede da parte del</w:t>
      </w:r>
      <w:r w:rsidR="00C87739">
        <w:rPr>
          <w:rFonts w:ascii="Times New Roman" w:hAnsi="Times New Roman" w:cs="Times New Roman"/>
          <w:sz w:val="24"/>
          <w:szCs w:val="24"/>
        </w:rPr>
        <w:t xml:space="preserve"> narratore (</w:t>
      </w:r>
      <w:r w:rsidRPr="00041A74">
        <w:rPr>
          <w:rFonts w:ascii="Times New Roman" w:hAnsi="Times New Roman" w:cs="Times New Roman"/>
          <w:sz w:val="24"/>
          <w:szCs w:val="24"/>
        </w:rPr>
        <w:t xml:space="preserve">cfr. Es 17, 7; </w:t>
      </w:r>
      <w:proofErr w:type="spellStart"/>
      <w:r w:rsidRPr="00041A74">
        <w:rPr>
          <w:rFonts w:ascii="Times New Roman" w:hAnsi="Times New Roman" w:cs="Times New Roman"/>
          <w:sz w:val="24"/>
          <w:szCs w:val="24"/>
        </w:rPr>
        <w:t>Num</w:t>
      </w:r>
      <w:proofErr w:type="spellEnd"/>
      <w:r w:rsidRPr="00041A74">
        <w:rPr>
          <w:rFonts w:ascii="Times New Roman" w:hAnsi="Times New Roman" w:cs="Times New Roman"/>
          <w:sz w:val="24"/>
          <w:szCs w:val="24"/>
        </w:rPr>
        <w:t xml:space="preserve"> 14, 22; </w:t>
      </w:r>
      <w:proofErr w:type="spellStart"/>
      <w:r w:rsidRPr="00041A74">
        <w:rPr>
          <w:rFonts w:ascii="Times New Roman" w:hAnsi="Times New Roman" w:cs="Times New Roman"/>
          <w:sz w:val="24"/>
          <w:szCs w:val="24"/>
        </w:rPr>
        <w:t>Dt</w:t>
      </w:r>
      <w:proofErr w:type="spellEnd"/>
      <w:r w:rsidRPr="00041A74">
        <w:rPr>
          <w:rFonts w:ascii="Times New Roman" w:hAnsi="Times New Roman" w:cs="Times New Roman"/>
          <w:sz w:val="24"/>
          <w:szCs w:val="24"/>
        </w:rPr>
        <w:t xml:space="preserve"> 8, 16; </w:t>
      </w:r>
      <w:proofErr w:type="spellStart"/>
      <w:r w:rsidRPr="00041A74">
        <w:rPr>
          <w:rFonts w:ascii="Times New Roman" w:hAnsi="Times New Roman" w:cs="Times New Roman"/>
          <w:sz w:val="24"/>
          <w:szCs w:val="24"/>
        </w:rPr>
        <w:t>Sal</w:t>
      </w:r>
      <w:proofErr w:type="spellEnd"/>
      <w:r w:rsidRPr="00041A74">
        <w:rPr>
          <w:rFonts w:ascii="Times New Roman" w:hAnsi="Times New Roman" w:cs="Times New Roman"/>
          <w:sz w:val="24"/>
          <w:szCs w:val="24"/>
        </w:rPr>
        <w:t xml:space="preserve"> 78, 18. 48; </w:t>
      </w:r>
      <w:proofErr w:type="spellStart"/>
      <w:r w:rsidRPr="00041A74">
        <w:rPr>
          <w:rFonts w:ascii="Times New Roman" w:hAnsi="Times New Roman" w:cs="Times New Roman"/>
          <w:sz w:val="24"/>
          <w:szCs w:val="24"/>
        </w:rPr>
        <w:t>Sal</w:t>
      </w:r>
      <w:proofErr w:type="spellEnd"/>
      <w:r w:rsidRPr="00041A74">
        <w:rPr>
          <w:rFonts w:ascii="Times New Roman" w:hAnsi="Times New Roman" w:cs="Times New Roman"/>
          <w:sz w:val="24"/>
          <w:szCs w:val="24"/>
        </w:rPr>
        <w:t xml:space="preserve"> 95, 9). In </w:t>
      </w:r>
      <w:proofErr w:type="spellStart"/>
      <w:r w:rsidRPr="00041A74">
        <w:rPr>
          <w:rFonts w:ascii="Times New Roman" w:hAnsi="Times New Roman" w:cs="Times New Roman"/>
          <w:sz w:val="24"/>
          <w:szCs w:val="24"/>
        </w:rPr>
        <w:t>Dt</w:t>
      </w:r>
      <w:proofErr w:type="spellEnd"/>
      <w:r w:rsidRPr="00041A74">
        <w:rPr>
          <w:rFonts w:ascii="Times New Roman" w:hAnsi="Times New Roman" w:cs="Times New Roman"/>
          <w:sz w:val="24"/>
          <w:szCs w:val="24"/>
        </w:rPr>
        <w:t xml:space="preserve"> 4, 34, con riferimento alle piaghe d’Egitto, si usa un termine della stessa radice del verbo, e che possiamo tradurre con prove. I segni e prodigi delle piaghe sono delle prove nella contesa tra Dio e il Faraone, per </w:t>
      </w:r>
      <w:r w:rsidR="00C87739">
        <w:rPr>
          <w:rFonts w:ascii="Times New Roman" w:hAnsi="Times New Roman" w:cs="Times New Roman"/>
          <w:sz w:val="24"/>
          <w:szCs w:val="24"/>
        </w:rPr>
        <w:t>mostrare cosa c’era nel cuore del</w:t>
      </w:r>
      <w:r w:rsidRPr="00041A74">
        <w:rPr>
          <w:rFonts w:ascii="Times New Roman" w:hAnsi="Times New Roman" w:cs="Times New Roman"/>
          <w:sz w:val="24"/>
          <w:szCs w:val="24"/>
        </w:rPr>
        <w:t xml:space="preserve"> Faraone. Tuttavia nel contesto di Deuteronomio 4 queste prove divengono segni e manifestazioni nei confronti di Israele, per rafforzarne la fede nei confronti del suo Dio. Una prova può dunque essere positiva, volta cioè a manifestare le qualità positive di Dio o dell’uomo (</w:t>
      </w:r>
      <w:r w:rsidR="00E85407">
        <w:rPr>
          <w:rFonts w:ascii="Times New Roman" w:hAnsi="Times New Roman" w:cs="Times New Roman"/>
          <w:sz w:val="24"/>
          <w:szCs w:val="24"/>
        </w:rPr>
        <w:t>cfr. anche Es 20, 20</w:t>
      </w:r>
      <w:proofErr w:type="gramStart"/>
      <w:r w:rsidR="00E85407">
        <w:rPr>
          <w:rFonts w:ascii="Times New Roman" w:hAnsi="Times New Roman" w:cs="Times New Roman"/>
          <w:sz w:val="24"/>
          <w:szCs w:val="24"/>
        </w:rPr>
        <w:t xml:space="preserve">) </w:t>
      </w:r>
      <w:r w:rsidRPr="00041A74">
        <w:rPr>
          <w:rFonts w:ascii="Times New Roman" w:hAnsi="Times New Roman" w:cs="Times New Roman"/>
          <w:sz w:val="24"/>
          <w:szCs w:val="24"/>
        </w:rPr>
        <w:t>.</w:t>
      </w:r>
      <w:proofErr w:type="gramEnd"/>
      <w:r w:rsidRPr="00041A74">
        <w:rPr>
          <w:rFonts w:ascii="Times New Roman" w:hAnsi="Times New Roman" w:cs="Times New Roman"/>
          <w:sz w:val="24"/>
          <w:szCs w:val="24"/>
        </w:rPr>
        <w:t xml:space="preserve"> Nel caso di </w:t>
      </w:r>
      <w:proofErr w:type="spellStart"/>
      <w:r w:rsidRPr="00041A74">
        <w:rPr>
          <w:rFonts w:ascii="Times New Roman" w:hAnsi="Times New Roman" w:cs="Times New Roman"/>
          <w:sz w:val="24"/>
          <w:szCs w:val="24"/>
        </w:rPr>
        <w:t>Gen</w:t>
      </w:r>
      <w:proofErr w:type="spellEnd"/>
      <w:r w:rsidRPr="00041A74">
        <w:rPr>
          <w:rFonts w:ascii="Times New Roman" w:hAnsi="Times New Roman" w:cs="Times New Roman"/>
          <w:sz w:val="24"/>
          <w:szCs w:val="24"/>
        </w:rPr>
        <w:t xml:space="preserve"> 22, 1 si tratta proprio di questo, Dio vuole rendere evidente, manifestare l’obbedienza e la fede del suo servo, per manifestare a sua volta la sua benedizione.</w:t>
      </w:r>
    </w:p>
    <w:p w:rsidR="00041A74" w:rsidRPr="00041A74" w:rsidRDefault="00C87739" w:rsidP="00041A7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 Abramo non </w:t>
      </w:r>
      <w:r w:rsidR="00041A74" w:rsidRPr="00041A74">
        <w:rPr>
          <w:rFonts w:ascii="Times New Roman" w:hAnsi="Times New Roman" w:cs="Times New Roman"/>
          <w:sz w:val="24"/>
          <w:szCs w:val="24"/>
        </w:rPr>
        <w:t>sa che si tratta di una prova e prende sul serio il comando di Dio. C’è qui un gioco narrativo di fondamentale importanza tra narratore e lettore, a scapito del protagonista, che tecnicamente si chiama “focalizzazione zero”. Ossia il lettore, grazie alle notizie comunicategli da un narratore onnisciente, sa quello che i personaggi della vicenda non sanno. Il lettore sa fin dall’inizio che si tratta di una prova</w:t>
      </w:r>
      <w:r w:rsidR="00E85407">
        <w:rPr>
          <w:rFonts w:ascii="Times New Roman" w:hAnsi="Times New Roman" w:cs="Times New Roman"/>
          <w:sz w:val="24"/>
          <w:szCs w:val="24"/>
        </w:rPr>
        <w:t xml:space="preserve"> positiva da parte di Dio</w:t>
      </w:r>
      <w:r w:rsidR="00041A74" w:rsidRPr="00041A74">
        <w:rPr>
          <w:rFonts w:ascii="Times New Roman" w:hAnsi="Times New Roman" w:cs="Times New Roman"/>
          <w:sz w:val="24"/>
          <w:szCs w:val="24"/>
        </w:rPr>
        <w:t xml:space="preserve"> e che quindi Dio non fa sul serio e sa al contempo che Abramo non lo sa. Così il lettore è invitato a guardare con trepidazione e compassione ad Abramo e nello stesso tempo anche con grande ammirazione per il suo atteggiamento di radicale obbedienza.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Il lettore è consapevole di tutta la storia di Abramo, delle sue sofferenze fino a tarda età per non avere un e</w:t>
      </w:r>
      <w:r w:rsidR="00E85407">
        <w:rPr>
          <w:rFonts w:ascii="Times New Roman" w:hAnsi="Times New Roman" w:cs="Times New Roman"/>
          <w:sz w:val="24"/>
          <w:szCs w:val="24"/>
        </w:rPr>
        <w:t xml:space="preserve">rede (cfr. </w:t>
      </w:r>
      <w:proofErr w:type="spellStart"/>
      <w:r w:rsidR="00E85407">
        <w:rPr>
          <w:rFonts w:ascii="Times New Roman" w:hAnsi="Times New Roman" w:cs="Times New Roman"/>
          <w:sz w:val="24"/>
          <w:szCs w:val="24"/>
        </w:rPr>
        <w:t>Gen</w:t>
      </w:r>
      <w:proofErr w:type="spellEnd"/>
      <w:r w:rsidR="00E85407">
        <w:rPr>
          <w:rFonts w:ascii="Times New Roman" w:hAnsi="Times New Roman" w:cs="Times New Roman"/>
          <w:sz w:val="24"/>
          <w:szCs w:val="24"/>
        </w:rPr>
        <w:t xml:space="preserve"> 15, 1 – 2; 16, 1</w:t>
      </w:r>
      <w:r w:rsidRPr="00041A74">
        <w:rPr>
          <w:rFonts w:ascii="Times New Roman" w:hAnsi="Times New Roman" w:cs="Times New Roman"/>
          <w:sz w:val="24"/>
          <w:szCs w:val="24"/>
        </w:rPr>
        <w:t xml:space="preserve">) nonostante la promessa di Dio per la quale egli aveva lasciato tutto il suo passato ed era partito (cfr. 12, 1) e dunque immagina quanto il comando di Dio sia per Abramo qualcosa di assolutamente incomprensibile, dal momento che gli chiede di sacrificare il figlio donato da Dio stesso, dopo tanti anni di attesa, e con un miracolo che ha vinto </w:t>
      </w:r>
      <w:r w:rsidRPr="00041A74">
        <w:rPr>
          <w:rFonts w:ascii="Times New Roman" w:hAnsi="Times New Roman" w:cs="Times New Roman"/>
          <w:sz w:val="24"/>
          <w:szCs w:val="24"/>
        </w:rPr>
        <w:lastRenderedPageBreak/>
        <w:t xml:space="preserve">sulla sterilità e la vecchiaia di Sara.  Si tratta di offrire in olocausto il figlio unigenito, che egli ama. Ciò non fa che aumentare l’ammirazione per la grandezza dell’obbedienza di Abramo.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Il narratore si sofferma particolarmente su dettagli che rivelano la tenerezza del rapporto di Abramo con il figlio.  Abramo prima sella l’asino per partire e poi però spacca la legna, come a voler ritardare la partenza. Poi in mano al figlio non mette oggetti pericolosi come il coltello o il fuoco, ma solo la legna.  Il dialogo tra Abramo e suo figlio è una geniale pittura dell’animo. L’amore tra padre e figlio si esprime nell’uso ripetuto scambievolmente degli appellativi e dei possessivi: “padre mio; figlio mio”. L’obbedienza di Abramo non è dunque il freddo e disumano automatismo di una macchina, è una sofferta sequenza di azioni in cui Abramo mette in moto la sua decisione di obbedire a Dio e al contempo l’amore per il suo figlio Isacco si manifesta in tutta la sua commovente profondità.</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 La risposta del padre alla domanda intelligente di Isacco: “Qui c’è il fuoco e la legna, ma dov’è l’agnello per l’olocausto?” è pervasa da una fede trepidante nella provvidenza di Dio: Dio stesso vedrà per se (per lui) l’agnello per l’olocausto.  Ad un primo significato il versetto indica che Dio provvede l’agnello sacrificale per se. Ma il verbo usato significa “vedere” e il nome che Abramo darà al luogo è: </w:t>
      </w:r>
      <w:proofErr w:type="spellStart"/>
      <w:r w:rsidRPr="00041A74">
        <w:rPr>
          <w:rFonts w:ascii="Times New Roman" w:hAnsi="Times New Roman" w:cs="Times New Roman"/>
          <w:sz w:val="24"/>
          <w:szCs w:val="24"/>
        </w:rPr>
        <w:t>jhwh</w:t>
      </w:r>
      <w:proofErr w:type="spellEnd"/>
      <w:r w:rsidRPr="00041A74">
        <w:rPr>
          <w:rFonts w:ascii="Times New Roman" w:hAnsi="Times New Roman" w:cs="Times New Roman"/>
          <w:sz w:val="24"/>
          <w:szCs w:val="24"/>
        </w:rPr>
        <w:t xml:space="preserve"> vede (v. 14). Cosa vuol dire? Cosa vede Dio? Il significato soggiacente è che lo sguardo di Dio, benevolo e provvidente, non si stacca mai dall’uomo, per sostenerlo e favorirlo. Abramo ha totalmente rinunciato al possesso del dono della promessa, vedendolo in questo modo proprio come dono puro e semplice, di cui non si è portatori in base ad un proprio diritto. Restituire il dono vuol dire rispettare e accogliere pienamente la rivelazione del donatore. </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 xml:space="preserve"> Quindi la risposta di Abramo è in realtà una grande attestazione di fede da parte sua. Qui giunge al culmine quella prova che il narratore aveva introdotto al v. 1, il cuore di Abramo è tutto per Dio, egli è il suo bene più grande, e per lui è disposto a sacrificare anche il figlio della promessa, che aveva</w:t>
      </w:r>
      <w:r w:rsidR="00912DD5">
        <w:rPr>
          <w:rFonts w:ascii="Times New Roman" w:hAnsi="Times New Roman" w:cs="Times New Roman"/>
          <w:sz w:val="24"/>
          <w:szCs w:val="24"/>
        </w:rPr>
        <w:t xml:space="preserve"> ricevuto da lui. Qui abbiamo un primo</w:t>
      </w:r>
      <w:r w:rsidRPr="00041A74">
        <w:rPr>
          <w:rFonts w:ascii="Times New Roman" w:hAnsi="Times New Roman" w:cs="Times New Roman"/>
          <w:sz w:val="24"/>
          <w:szCs w:val="24"/>
        </w:rPr>
        <w:t xml:space="preserve"> culmine della trama di rivelazione, che riguarda l’obbedienza di Abramo (cfr. scheda su trama di rivelazione e di risoluzione). Il seguito delle azioni portano avanti la risoluzione, che ha un picco di tensione quando la mano di Abramo si alza vibrando il coltello per uccidere Isacco. La </w:t>
      </w:r>
      <w:proofErr w:type="spellStart"/>
      <w:r w:rsidRPr="00041A74">
        <w:rPr>
          <w:rFonts w:ascii="Times New Roman" w:hAnsi="Times New Roman" w:cs="Times New Roman"/>
          <w:sz w:val="24"/>
          <w:szCs w:val="24"/>
        </w:rPr>
        <w:t>suspence</w:t>
      </w:r>
      <w:proofErr w:type="spellEnd"/>
      <w:r w:rsidRPr="00041A74">
        <w:rPr>
          <w:rFonts w:ascii="Times New Roman" w:hAnsi="Times New Roman" w:cs="Times New Roman"/>
          <w:sz w:val="24"/>
          <w:szCs w:val="24"/>
        </w:rPr>
        <w:t xml:space="preserve"> creata dal susseguirsi di queste azioni e la drammaticità di ciò che sta per accadere mettono alla prova la fede del lettore, che mentre Abramo alza il coltello, chiude gli occhi e si chiede se era proprio vero che si trattava solo di una prova. Cosa farà Dio? L’intervento dell’angelo, che blocca la mano di Abramo all’ultimo momento e con il miracoloso segno dell’ariete impigliato in un albero, sciolgono questo tensione e porta a termine la trama di risoluzione.</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lastRenderedPageBreak/>
        <w:t>Mentre la fede di Abramo è ormai comprovata al v. 8, da quel momento in poi viene messa alla prova la fede del lettore, che si chiede con angoscia cosa farà Dio a questo punto. Il narratore intende in questo modo mostrare che la prova di fede di Abramo è in realtà simultaneamente una prova di fede per il lettore. Quale immagine di Dio ha il lettore, il quale si ribella di fronte a un Dio che mette alla prova Abramo, temendo che sia un Dio cattivo? La fede di Abramo educa quella del lettore. Anche qui la risoluzione degli eventi è in funzione di una rivelazione, la rivelazione di un Dio che vede, che si prende cura dell’uomo.</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Per Abramo Dio può chiedere qualsiasi cosa perché “Dio vede”, ossia si prende cura dell’uomo, lo ama. Questo è implicito in tutti gli atti compiuti da Abramo in questo racconto. Mentre Dio mette alla prova la fede di Abramo,</w:t>
      </w:r>
      <w:r w:rsidR="00912DD5">
        <w:rPr>
          <w:rFonts w:ascii="Times New Roman" w:hAnsi="Times New Roman" w:cs="Times New Roman"/>
          <w:sz w:val="24"/>
          <w:szCs w:val="24"/>
        </w:rPr>
        <w:t xml:space="preserve"> perché egli si manifesti come l’uomo obbediente alla parola di Dio e che a Lui dona ogni cosa,</w:t>
      </w:r>
      <w:r w:rsidRPr="00041A74">
        <w:rPr>
          <w:rFonts w:ascii="Times New Roman" w:hAnsi="Times New Roman" w:cs="Times New Roman"/>
          <w:sz w:val="24"/>
          <w:szCs w:val="24"/>
        </w:rPr>
        <w:t xml:space="preserve"> Abramo ubbidendo mette </w:t>
      </w:r>
      <w:r w:rsidR="00912DD5">
        <w:rPr>
          <w:rFonts w:ascii="Times New Roman" w:hAnsi="Times New Roman" w:cs="Times New Roman"/>
          <w:sz w:val="24"/>
          <w:szCs w:val="24"/>
        </w:rPr>
        <w:t xml:space="preserve">alla prova l’amore di Dio, perché egli si manifesti come il Dio che ama l’uomo vivente. </w:t>
      </w:r>
      <w:r w:rsidRPr="00041A74">
        <w:rPr>
          <w:rFonts w:ascii="Times New Roman" w:hAnsi="Times New Roman" w:cs="Times New Roman"/>
          <w:sz w:val="24"/>
          <w:szCs w:val="24"/>
        </w:rPr>
        <w:t xml:space="preserve"> Ogni atto da lui compiuto verso il sacrificio del figlio al monte Moria è una testimonianza della sua fede incrollabile e paradossale nel fatt</w:t>
      </w:r>
      <w:r w:rsidR="00912DD5">
        <w:rPr>
          <w:rFonts w:ascii="Times New Roman" w:hAnsi="Times New Roman" w:cs="Times New Roman"/>
          <w:sz w:val="24"/>
          <w:szCs w:val="24"/>
        </w:rPr>
        <w:t>o che Dio è il Dio della vita (</w:t>
      </w:r>
      <w:r w:rsidRPr="00041A74">
        <w:rPr>
          <w:rFonts w:ascii="Times New Roman" w:hAnsi="Times New Roman" w:cs="Times New Roman"/>
          <w:sz w:val="24"/>
          <w:szCs w:val="24"/>
        </w:rPr>
        <w:t>per l’autore della lettera agli Ebrei, Abramo crede nella resurr</w:t>
      </w:r>
      <w:r w:rsidR="00912DD5">
        <w:rPr>
          <w:rFonts w:ascii="Times New Roman" w:hAnsi="Times New Roman" w:cs="Times New Roman"/>
          <w:sz w:val="24"/>
          <w:szCs w:val="24"/>
        </w:rPr>
        <w:t xml:space="preserve">ezione dai morti </w:t>
      </w:r>
      <w:proofErr w:type="spellStart"/>
      <w:r w:rsidR="00912DD5">
        <w:rPr>
          <w:rFonts w:ascii="Times New Roman" w:hAnsi="Times New Roman" w:cs="Times New Roman"/>
          <w:sz w:val="24"/>
          <w:szCs w:val="24"/>
        </w:rPr>
        <w:t>Eb</w:t>
      </w:r>
      <w:proofErr w:type="spellEnd"/>
      <w:r w:rsidR="00912DD5">
        <w:rPr>
          <w:rFonts w:ascii="Times New Roman" w:hAnsi="Times New Roman" w:cs="Times New Roman"/>
          <w:sz w:val="24"/>
          <w:szCs w:val="24"/>
        </w:rPr>
        <w:t xml:space="preserve"> 11, 17 – 19</w:t>
      </w:r>
      <w:r w:rsidRPr="00041A74">
        <w:rPr>
          <w:rFonts w:ascii="Times New Roman" w:hAnsi="Times New Roman" w:cs="Times New Roman"/>
          <w:sz w:val="24"/>
          <w:szCs w:val="24"/>
        </w:rPr>
        <w:t>). In fondo, se vogliamo, Dio è venuto ad abitare l’immagine crudele che l’uomo si è fatto di lui</w:t>
      </w:r>
      <w:r w:rsidR="00912DD5">
        <w:rPr>
          <w:rFonts w:ascii="Times New Roman" w:hAnsi="Times New Roman" w:cs="Times New Roman"/>
          <w:sz w:val="24"/>
          <w:szCs w:val="24"/>
        </w:rPr>
        <w:t xml:space="preserve"> fin dall’inizio dell’umanità, </w:t>
      </w:r>
      <w:r w:rsidRPr="00041A74">
        <w:rPr>
          <w:rFonts w:ascii="Times New Roman" w:hAnsi="Times New Roman" w:cs="Times New Roman"/>
          <w:sz w:val="24"/>
          <w:szCs w:val="24"/>
        </w:rPr>
        <w:t>per liberarlo da essa e non c’era altro modo per farlo, se non attraverso la fede di Abramo. Dio mett</w:t>
      </w:r>
      <w:r w:rsidR="00912DD5">
        <w:rPr>
          <w:rFonts w:ascii="Times New Roman" w:hAnsi="Times New Roman" w:cs="Times New Roman"/>
          <w:sz w:val="24"/>
          <w:szCs w:val="24"/>
        </w:rPr>
        <w:t xml:space="preserve">e alla prova la fede di </w:t>
      </w:r>
      <w:proofErr w:type="gramStart"/>
      <w:r w:rsidR="00912DD5">
        <w:rPr>
          <w:rFonts w:ascii="Times New Roman" w:hAnsi="Times New Roman" w:cs="Times New Roman"/>
          <w:sz w:val="24"/>
          <w:szCs w:val="24"/>
        </w:rPr>
        <w:t xml:space="preserve">Abramo </w:t>
      </w:r>
      <w:r w:rsidRPr="00041A74">
        <w:rPr>
          <w:rFonts w:ascii="Times New Roman" w:hAnsi="Times New Roman" w:cs="Times New Roman"/>
          <w:sz w:val="24"/>
          <w:szCs w:val="24"/>
        </w:rPr>
        <w:t xml:space="preserve"> </w:t>
      </w:r>
      <w:r w:rsidR="00912DD5">
        <w:rPr>
          <w:rFonts w:ascii="Times New Roman" w:hAnsi="Times New Roman" w:cs="Times New Roman"/>
          <w:sz w:val="24"/>
          <w:szCs w:val="24"/>
        </w:rPr>
        <w:t>(</w:t>
      </w:r>
      <w:proofErr w:type="gramEnd"/>
      <w:r w:rsidR="00912DD5">
        <w:rPr>
          <w:rFonts w:ascii="Times New Roman" w:hAnsi="Times New Roman" w:cs="Times New Roman"/>
          <w:sz w:val="24"/>
          <w:szCs w:val="24"/>
        </w:rPr>
        <w:t>Dio vede</w:t>
      </w:r>
      <w:r w:rsidRPr="00041A74">
        <w:rPr>
          <w:rFonts w:ascii="Times New Roman" w:hAnsi="Times New Roman" w:cs="Times New Roman"/>
          <w:sz w:val="24"/>
          <w:szCs w:val="24"/>
        </w:rPr>
        <w:t>), perché egli possa mettere alla prova il suo amore e questo per la fede di tutti i lettori!</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Allo stesso modo Isacco non può credere di essere ingannato dalla parola del padre, e supera la paura di essere ingannato dal padre, facendosi legare. La prova di fede di Abramo è implicitamente affrontata anche da Isa</w:t>
      </w:r>
      <w:r w:rsidR="001F564C">
        <w:rPr>
          <w:rFonts w:ascii="Times New Roman" w:hAnsi="Times New Roman" w:cs="Times New Roman"/>
          <w:sz w:val="24"/>
          <w:szCs w:val="24"/>
        </w:rPr>
        <w:t>cco nel rapporto con il padre (</w:t>
      </w:r>
      <w:r w:rsidRPr="00041A74">
        <w:rPr>
          <w:rFonts w:ascii="Times New Roman" w:hAnsi="Times New Roman" w:cs="Times New Roman"/>
          <w:sz w:val="24"/>
          <w:szCs w:val="24"/>
        </w:rPr>
        <w:t>cfr. tradizione e</w:t>
      </w:r>
      <w:r w:rsidR="00912DD5">
        <w:rPr>
          <w:rFonts w:ascii="Times New Roman" w:hAnsi="Times New Roman" w:cs="Times New Roman"/>
          <w:sz w:val="24"/>
          <w:szCs w:val="24"/>
        </w:rPr>
        <w:t>braica sulla legatura di Isacco</w:t>
      </w:r>
      <w:r w:rsidRPr="00041A74">
        <w:rPr>
          <w:rFonts w:ascii="Times New Roman" w:hAnsi="Times New Roman" w:cs="Times New Roman"/>
          <w:sz w:val="24"/>
          <w:szCs w:val="24"/>
        </w:rPr>
        <w:t>).</w:t>
      </w:r>
    </w:p>
    <w:p w:rsidR="00041A74" w:rsidRPr="00041A74" w:rsidRDefault="00041A74" w:rsidP="00041A74">
      <w:pPr>
        <w:spacing w:line="360" w:lineRule="auto"/>
        <w:jc w:val="both"/>
        <w:rPr>
          <w:rFonts w:ascii="Times New Roman" w:hAnsi="Times New Roman" w:cs="Times New Roman"/>
          <w:sz w:val="24"/>
          <w:szCs w:val="24"/>
        </w:rPr>
      </w:pPr>
      <w:r w:rsidRPr="00041A74">
        <w:rPr>
          <w:rFonts w:ascii="Times New Roman" w:hAnsi="Times New Roman" w:cs="Times New Roman"/>
          <w:sz w:val="24"/>
          <w:szCs w:val="24"/>
        </w:rPr>
        <w:t>Ciò mi pare si ricolleghi bene alla duplice tradizione del nome del luogo: il signore vede e “sul monte il Signore è visto si fa vedere”, gioca con il verbo vedere. La fede di Abramo riguardo al fatto che Dio vede rende possibile la manifestazione,</w:t>
      </w:r>
      <w:r w:rsidR="00912DD5">
        <w:rPr>
          <w:rFonts w:ascii="Times New Roman" w:hAnsi="Times New Roman" w:cs="Times New Roman"/>
          <w:sz w:val="24"/>
          <w:szCs w:val="24"/>
        </w:rPr>
        <w:t xml:space="preserve"> la rivelazione di Dio in lui (</w:t>
      </w:r>
      <w:r w:rsidRPr="00041A74">
        <w:rPr>
          <w:rFonts w:ascii="Times New Roman" w:hAnsi="Times New Roman" w:cs="Times New Roman"/>
          <w:sz w:val="24"/>
          <w:szCs w:val="24"/>
        </w:rPr>
        <w:t>Dio si fa vedere). Si annuncia qui qualcosa che il narratore non poteva prevedere, ma la cui figura risplende nel rapporto tra Abramo e Isacco. Il figlio unico</w:t>
      </w:r>
      <w:r w:rsidR="00912DD5">
        <w:rPr>
          <w:rFonts w:ascii="Times New Roman" w:hAnsi="Times New Roman" w:cs="Times New Roman"/>
          <w:sz w:val="24"/>
          <w:szCs w:val="24"/>
        </w:rPr>
        <w:t xml:space="preserve"> e prediletto viene donato dal Padre e il F</w:t>
      </w:r>
      <w:r w:rsidRPr="00041A74">
        <w:rPr>
          <w:rFonts w:ascii="Times New Roman" w:hAnsi="Times New Roman" w:cs="Times New Roman"/>
          <w:sz w:val="24"/>
          <w:szCs w:val="24"/>
        </w:rPr>
        <w:t>iglio stesso si lascia donare fidandosi di lui. Questa figura si compie e cade nel momento in cui la realtà risplende nella croce del Figlio, dove il Padre si rivela come il donatore per eccellenza.</w:t>
      </w:r>
      <w:r w:rsidR="0073575B">
        <w:rPr>
          <w:rFonts w:ascii="Times New Roman" w:hAnsi="Times New Roman" w:cs="Times New Roman"/>
          <w:sz w:val="24"/>
          <w:szCs w:val="24"/>
        </w:rPr>
        <w:t xml:space="preserve"> Questo senso spirituale, pieno del testo, è in continuità con il senso letterale, </w:t>
      </w:r>
    </w:p>
    <w:p w:rsidR="00041A74" w:rsidRPr="00041A74" w:rsidRDefault="00A63124" w:rsidP="00041A74">
      <w:p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00041A74" w:rsidRPr="00041A74">
        <w:rPr>
          <w:rFonts w:ascii="Times New Roman" w:hAnsi="Times New Roman" w:cs="Times New Roman"/>
          <w:sz w:val="24"/>
          <w:szCs w:val="24"/>
        </w:rPr>
        <w:t>l termine di questa prova, la promessa di Dio viene confermata (v. 15 – 18).</w:t>
      </w:r>
      <w:r w:rsidR="00912DD5">
        <w:rPr>
          <w:rFonts w:ascii="Times New Roman" w:hAnsi="Times New Roman" w:cs="Times New Roman"/>
          <w:sz w:val="24"/>
          <w:szCs w:val="24"/>
        </w:rPr>
        <w:t xml:space="preserve"> Qui,</w:t>
      </w:r>
      <w:r>
        <w:rPr>
          <w:rFonts w:ascii="Times New Roman" w:hAnsi="Times New Roman" w:cs="Times New Roman"/>
          <w:sz w:val="24"/>
          <w:szCs w:val="24"/>
        </w:rPr>
        <w:t xml:space="preserve"> con un secondo picco, arriva a compiersi la trama di rivelazione: con la conferma della promessa di Dio e della sua </w:t>
      </w:r>
      <w:r>
        <w:rPr>
          <w:rFonts w:ascii="Times New Roman" w:hAnsi="Times New Roman" w:cs="Times New Roman"/>
          <w:sz w:val="24"/>
          <w:szCs w:val="24"/>
        </w:rPr>
        <w:lastRenderedPageBreak/>
        <w:t>benedizione (cfr. 12, 3; 15, 5). Proprio perché non gli ha rifiutato il suo Figlio, Abramo sarà il padre di una discendenza numerosa come le stelle del cielo.</w:t>
      </w:r>
      <w:r w:rsidR="0073575B">
        <w:rPr>
          <w:rFonts w:ascii="Times New Roman" w:hAnsi="Times New Roman" w:cs="Times New Roman"/>
          <w:sz w:val="24"/>
          <w:szCs w:val="24"/>
        </w:rPr>
        <w:t xml:space="preserve"> </w:t>
      </w: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spacing w:line="360" w:lineRule="auto"/>
        <w:jc w:val="both"/>
        <w:rPr>
          <w:rFonts w:ascii="Times New Roman" w:hAnsi="Times New Roman" w:cs="Times New Roman"/>
          <w:sz w:val="24"/>
          <w:szCs w:val="24"/>
        </w:rPr>
      </w:pPr>
    </w:p>
    <w:p w:rsidR="00041A74" w:rsidRPr="00041A74" w:rsidRDefault="00041A74" w:rsidP="00041A74">
      <w:pPr>
        <w:keepNext/>
        <w:keepLines/>
        <w:spacing w:before="200" w:after="0"/>
        <w:outlineLvl w:val="1"/>
        <w:rPr>
          <w:rFonts w:ascii="Times New Roman" w:eastAsiaTheme="majorEastAsia" w:hAnsi="Times New Roman" w:cs="Times New Roman"/>
          <w:bCs/>
          <w:i/>
          <w:color w:val="4F81BD" w:themeColor="accent1"/>
          <w:sz w:val="24"/>
          <w:szCs w:val="24"/>
        </w:rPr>
      </w:pPr>
      <w:bookmarkStart w:id="6" w:name="_Toc374449820"/>
      <w:r w:rsidRPr="00041A74">
        <w:rPr>
          <w:rFonts w:ascii="Times New Roman" w:eastAsiaTheme="majorEastAsia" w:hAnsi="Times New Roman" w:cs="Times New Roman"/>
          <w:bCs/>
          <w:i/>
          <w:color w:val="4F81BD" w:themeColor="accent1"/>
          <w:sz w:val="24"/>
          <w:szCs w:val="24"/>
        </w:rPr>
        <w:t>4. 3 Coda su senso letterale e senso spirituale.</w:t>
      </w:r>
      <w:bookmarkEnd w:id="6"/>
      <w:r w:rsidRPr="00041A74">
        <w:rPr>
          <w:rFonts w:ascii="Times New Roman" w:eastAsiaTheme="majorEastAsia" w:hAnsi="Times New Roman" w:cs="Times New Roman"/>
          <w:bCs/>
          <w:i/>
          <w:color w:val="4F81BD" w:themeColor="accent1"/>
          <w:sz w:val="24"/>
          <w:szCs w:val="24"/>
        </w:rPr>
        <w:t xml:space="preserve"> </w:t>
      </w:r>
    </w:p>
    <w:p w:rsidR="00041A74" w:rsidRPr="00041A74" w:rsidRDefault="00041A74" w:rsidP="00041A74">
      <w:pPr>
        <w:spacing w:line="360" w:lineRule="auto"/>
        <w:jc w:val="both"/>
        <w:rPr>
          <w:rFonts w:ascii="Times New Roman" w:hAnsi="Times New Roman" w:cs="Times New Roman"/>
          <w:i/>
          <w:sz w:val="24"/>
          <w:szCs w:val="24"/>
        </w:rPr>
      </w:pPr>
      <w:r w:rsidRPr="00041A74">
        <w:rPr>
          <w:rFonts w:ascii="Times New Roman" w:hAnsi="Times New Roman" w:cs="Times New Roman"/>
          <w:sz w:val="24"/>
          <w:szCs w:val="24"/>
        </w:rPr>
        <w:t xml:space="preserve">Interpretazione della Bibbia nella Chiesa (P.C.B. 1993; 1407 </w:t>
      </w:r>
      <w:proofErr w:type="spellStart"/>
      <w:r w:rsidRPr="00041A74">
        <w:rPr>
          <w:rFonts w:ascii="Times New Roman" w:hAnsi="Times New Roman" w:cs="Times New Roman"/>
          <w:sz w:val="24"/>
          <w:szCs w:val="24"/>
        </w:rPr>
        <w:t>Enchiridium</w:t>
      </w:r>
      <w:proofErr w:type="spellEnd"/>
      <w:r w:rsidRPr="00041A74">
        <w:rPr>
          <w:rFonts w:ascii="Times New Roman" w:hAnsi="Times New Roman" w:cs="Times New Roman"/>
          <w:sz w:val="24"/>
          <w:szCs w:val="24"/>
        </w:rPr>
        <w:t xml:space="preserve"> </w:t>
      </w:r>
      <w:proofErr w:type="spellStart"/>
      <w:r w:rsidRPr="00041A74">
        <w:rPr>
          <w:rFonts w:ascii="Times New Roman" w:hAnsi="Times New Roman" w:cs="Times New Roman"/>
          <w:sz w:val="24"/>
          <w:szCs w:val="24"/>
        </w:rPr>
        <w:t>Biblicum</w:t>
      </w:r>
      <w:proofErr w:type="spellEnd"/>
      <w:r w:rsidRPr="00041A74">
        <w:rPr>
          <w:rFonts w:ascii="Times New Roman" w:hAnsi="Times New Roman" w:cs="Times New Roman"/>
          <w:sz w:val="24"/>
          <w:szCs w:val="24"/>
        </w:rPr>
        <w:t xml:space="preserve">): </w:t>
      </w:r>
      <w:r w:rsidRPr="00041A74">
        <w:rPr>
          <w:rFonts w:ascii="Times New Roman" w:hAnsi="Times New Roman" w:cs="Times New Roman"/>
          <w:i/>
          <w:sz w:val="24"/>
          <w:szCs w:val="24"/>
        </w:rPr>
        <w:t xml:space="preserve">il senso letterale della Scrittura è quello espresso direttamente dagli autori umani ispirati. Essendo frutto dell’ispirazione, questo senso è voluto anche da Dio, autore principale. Lo si </w:t>
      </w:r>
      <w:proofErr w:type="spellStart"/>
      <w:r w:rsidRPr="00041A74">
        <w:rPr>
          <w:rFonts w:ascii="Times New Roman" w:hAnsi="Times New Roman" w:cs="Times New Roman"/>
          <w:i/>
          <w:sz w:val="24"/>
          <w:szCs w:val="24"/>
        </w:rPr>
        <w:t>discerne</w:t>
      </w:r>
      <w:proofErr w:type="spellEnd"/>
      <w:r w:rsidRPr="00041A74">
        <w:rPr>
          <w:rFonts w:ascii="Times New Roman" w:hAnsi="Times New Roman" w:cs="Times New Roman"/>
          <w:i/>
          <w:sz w:val="24"/>
          <w:szCs w:val="24"/>
        </w:rPr>
        <w:t xml:space="preserve"> grazie a un’analisi precisa del testo, situato nel suo contesto letterario e storico. Il compito principale dell’esegesi è proprio quello di condurre a questa analisi, utilizzando tutte le possibilità delle ricerche letterarie e storiche, al fine di definire il senso, letterale dei testi biblici con la maggiore esattezza possibile (Divino </w:t>
      </w:r>
      <w:proofErr w:type="spellStart"/>
      <w:r w:rsidRPr="00041A74">
        <w:rPr>
          <w:rFonts w:ascii="Times New Roman" w:hAnsi="Times New Roman" w:cs="Times New Roman"/>
          <w:i/>
          <w:sz w:val="24"/>
          <w:szCs w:val="24"/>
        </w:rPr>
        <w:t>afflante</w:t>
      </w:r>
      <w:proofErr w:type="spellEnd"/>
      <w:r w:rsidRPr="00041A74">
        <w:rPr>
          <w:rFonts w:ascii="Times New Roman" w:hAnsi="Times New Roman" w:cs="Times New Roman"/>
          <w:i/>
          <w:sz w:val="24"/>
          <w:szCs w:val="24"/>
        </w:rPr>
        <w:t xml:space="preserve"> </w:t>
      </w:r>
      <w:proofErr w:type="spellStart"/>
      <w:r w:rsidRPr="00041A74">
        <w:rPr>
          <w:rFonts w:ascii="Times New Roman" w:hAnsi="Times New Roman" w:cs="Times New Roman"/>
          <w:i/>
          <w:sz w:val="24"/>
          <w:szCs w:val="24"/>
        </w:rPr>
        <w:t>Spiritu</w:t>
      </w:r>
      <w:proofErr w:type="spellEnd"/>
      <w:r w:rsidRPr="00041A74">
        <w:rPr>
          <w:rFonts w:ascii="Times New Roman" w:hAnsi="Times New Roman" w:cs="Times New Roman"/>
          <w:i/>
          <w:sz w:val="24"/>
          <w:szCs w:val="24"/>
        </w:rPr>
        <w:t xml:space="preserve">, EB 550). Per tale scopo, lo studio dei generi letterari antichi è particolarmente necessario (ibid. 560).   </w:t>
      </w:r>
    </w:p>
    <w:p w:rsidR="00041A74" w:rsidRPr="00041A74" w:rsidRDefault="00041A74" w:rsidP="00041A74">
      <w:pPr>
        <w:spacing w:line="360" w:lineRule="auto"/>
        <w:jc w:val="both"/>
        <w:rPr>
          <w:rFonts w:ascii="Times New Roman" w:hAnsi="Times New Roman" w:cs="Times New Roman"/>
          <w:i/>
          <w:sz w:val="24"/>
          <w:szCs w:val="24"/>
        </w:rPr>
      </w:pPr>
      <w:r w:rsidRPr="00041A74">
        <w:rPr>
          <w:rFonts w:ascii="Times New Roman" w:hAnsi="Times New Roman" w:cs="Times New Roman"/>
          <w:sz w:val="24"/>
          <w:szCs w:val="24"/>
        </w:rPr>
        <w:t xml:space="preserve">Interpretazione della Bibbia nella Chiesa (P.C.B. 1993; 1413 </w:t>
      </w:r>
      <w:proofErr w:type="spellStart"/>
      <w:r w:rsidRPr="00041A74">
        <w:rPr>
          <w:rFonts w:ascii="Times New Roman" w:hAnsi="Times New Roman" w:cs="Times New Roman"/>
          <w:sz w:val="24"/>
          <w:szCs w:val="24"/>
        </w:rPr>
        <w:t>Enchiridium</w:t>
      </w:r>
      <w:proofErr w:type="spellEnd"/>
      <w:r w:rsidRPr="00041A74">
        <w:rPr>
          <w:rFonts w:ascii="Times New Roman" w:hAnsi="Times New Roman" w:cs="Times New Roman"/>
          <w:sz w:val="24"/>
          <w:szCs w:val="24"/>
        </w:rPr>
        <w:t xml:space="preserve"> </w:t>
      </w:r>
      <w:proofErr w:type="spellStart"/>
      <w:r w:rsidRPr="00041A74">
        <w:rPr>
          <w:rFonts w:ascii="Times New Roman" w:hAnsi="Times New Roman" w:cs="Times New Roman"/>
          <w:sz w:val="24"/>
          <w:szCs w:val="24"/>
        </w:rPr>
        <w:t>Biblicum</w:t>
      </w:r>
      <w:proofErr w:type="spellEnd"/>
      <w:r w:rsidRPr="00041A74">
        <w:rPr>
          <w:rFonts w:ascii="Times New Roman" w:hAnsi="Times New Roman" w:cs="Times New Roman"/>
          <w:sz w:val="24"/>
          <w:szCs w:val="24"/>
        </w:rPr>
        <w:t>):</w:t>
      </w:r>
      <w:r w:rsidRPr="00041A74">
        <w:t xml:space="preserve"> </w:t>
      </w:r>
      <w:r w:rsidRPr="00041A74">
        <w:rPr>
          <w:rFonts w:ascii="Times New Roman" w:hAnsi="Times New Roman" w:cs="Times New Roman"/>
          <w:i/>
          <w:sz w:val="24"/>
          <w:szCs w:val="24"/>
        </w:rPr>
        <w:t>Come regola generale, possiamo definire il senso spirituale, compreso secondo la fede cristiana, il senso espresso dai testi biblici quando vengono letti sotto l’influsso dello Spirito Santo nel contesto del mistero pasquale di Cristo e della vita nuova che ne risulta. Questo contesto esiste effettivamente. Il Nuovo Testamento riconosce in esso il compimento delle Scritture. È perciò normale rileggere le Scritture alla luce di questo nuovo contesto, quello della vita nello Spirito.</w:t>
      </w:r>
    </w:p>
    <w:p w:rsidR="00041A74" w:rsidRPr="00041A74" w:rsidRDefault="00041A74" w:rsidP="00041A74">
      <w:pPr>
        <w:spacing w:line="360" w:lineRule="auto"/>
        <w:jc w:val="both"/>
        <w:rPr>
          <w:rFonts w:ascii="Times New Roman" w:hAnsi="Times New Roman" w:cs="Times New Roman"/>
          <w:i/>
          <w:sz w:val="24"/>
          <w:szCs w:val="24"/>
        </w:rPr>
      </w:pPr>
    </w:p>
    <w:p w:rsidR="00041A74" w:rsidRDefault="00041A74" w:rsidP="004A2D32">
      <w:pPr>
        <w:jc w:val="both"/>
        <w:rPr>
          <w:b/>
          <w:sz w:val="28"/>
        </w:rPr>
      </w:pPr>
      <w:bookmarkStart w:id="7" w:name="_GoBack"/>
      <w:bookmarkEnd w:id="7"/>
    </w:p>
    <w:sectPr w:rsidR="00041A7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BA7"/>
    <w:rsid w:val="00041A74"/>
    <w:rsid w:val="00083CE5"/>
    <w:rsid w:val="00094F57"/>
    <w:rsid w:val="000F1FB5"/>
    <w:rsid w:val="001578A8"/>
    <w:rsid w:val="00166E69"/>
    <w:rsid w:val="001C05AC"/>
    <w:rsid w:val="001F564C"/>
    <w:rsid w:val="00207E18"/>
    <w:rsid w:val="003B0BA7"/>
    <w:rsid w:val="003E4C39"/>
    <w:rsid w:val="00455CEE"/>
    <w:rsid w:val="00476B84"/>
    <w:rsid w:val="004A2D32"/>
    <w:rsid w:val="004B1F27"/>
    <w:rsid w:val="006700C8"/>
    <w:rsid w:val="006B477F"/>
    <w:rsid w:val="0073575B"/>
    <w:rsid w:val="007C6E97"/>
    <w:rsid w:val="00912DD5"/>
    <w:rsid w:val="009D265F"/>
    <w:rsid w:val="00A63124"/>
    <w:rsid w:val="00C87739"/>
    <w:rsid w:val="00CF51FF"/>
    <w:rsid w:val="00E85407"/>
    <w:rsid w:val="00EF5D7D"/>
    <w:rsid w:val="00F66756"/>
    <w:rsid w:val="00FB1152"/>
    <w:rsid w:val="00FD2204"/>
    <w:rsid w:val="00FF47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A126E9-C8C2-498D-8D97-3FB0DE076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351</TotalTime>
  <Pages>10</Pages>
  <Words>3880</Words>
  <Characters>22119</Characters>
  <Application>Microsoft Office Word</Application>
  <DocSecurity>0</DocSecurity>
  <Lines>184</Lines>
  <Paragraphs>51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25948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17</cp:revision>
  <dcterms:created xsi:type="dcterms:W3CDTF">2012-08-30T10:19:00Z</dcterms:created>
  <dcterms:modified xsi:type="dcterms:W3CDTF">2014-11-07T10:47:00Z</dcterms:modified>
</cp:coreProperties>
</file>