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C8B" w:rsidRPr="00D36DEB" w:rsidRDefault="003D2C8B" w:rsidP="003D2C8B">
      <w:pPr>
        <w:jc w:val="both"/>
        <w:rPr>
          <w:rFonts w:ascii="Times New Roman" w:eastAsia="Calibri" w:hAnsi="Times New Roman" w:cs="Times New Roman"/>
          <w:sz w:val="32"/>
        </w:rPr>
      </w:pPr>
      <w:r w:rsidRPr="00D36DEB">
        <w:rPr>
          <w:rFonts w:ascii="Times New Roman" w:eastAsia="Calibri" w:hAnsi="Times New Roman" w:cs="Times New Roman"/>
          <w:sz w:val="32"/>
        </w:rPr>
        <w:t>5. VANGELO DI LUCA E ATTI DEGLI APOSTOLI</w:t>
      </w:r>
    </w:p>
    <w:p w:rsidR="003D2C8B" w:rsidRDefault="003D2C8B" w:rsidP="003D2C8B">
      <w:pPr>
        <w:jc w:val="both"/>
        <w:rPr>
          <w:rFonts w:ascii="Times New Roman" w:hAnsi="Times New Roman" w:cs="Times New Roman"/>
          <w:sz w:val="28"/>
          <w:szCs w:val="24"/>
        </w:rPr>
      </w:pPr>
      <w:r w:rsidRPr="00D36DEB">
        <w:rPr>
          <w:rFonts w:ascii="Times New Roman" w:hAnsi="Times New Roman" w:cs="Times New Roman"/>
          <w:sz w:val="28"/>
          <w:szCs w:val="24"/>
        </w:rPr>
        <w:t>5. 1</w:t>
      </w:r>
      <w:r>
        <w:rPr>
          <w:rFonts w:ascii="Times New Roman" w:hAnsi="Times New Roman" w:cs="Times New Roman"/>
          <w:sz w:val="28"/>
          <w:szCs w:val="24"/>
        </w:rPr>
        <w:t xml:space="preserve"> UN’UNICA OPERA IN DUE VOLUMI</w:t>
      </w:r>
    </w:p>
    <w:p w:rsidR="003D2C8B" w:rsidRDefault="003D2C8B" w:rsidP="003D2C8B">
      <w:pPr>
        <w:jc w:val="both"/>
        <w:rPr>
          <w:rFonts w:ascii="Times New Roman" w:hAnsi="Times New Roman" w:cs="Times New Roman"/>
          <w:sz w:val="28"/>
          <w:szCs w:val="24"/>
        </w:rPr>
      </w:pPr>
      <w:r>
        <w:rPr>
          <w:rFonts w:ascii="Times New Roman" w:hAnsi="Times New Roman" w:cs="Times New Roman"/>
          <w:sz w:val="28"/>
          <w:szCs w:val="24"/>
        </w:rPr>
        <w:t>5. 2 AUTORE</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Tre riferimenti (Fm 24; Col 4, 14; 2 Tm 4, 11) indicano Luca come compagno e collaboratore di Paolo, fedele anche nella prigionia. Egli è appellato come il “caro medico” (Col 4, 14) e il suo </w:t>
      </w:r>
      <w:r w:rsidR="00667884">
        <w:rPr>
          <w:rFonts w:ascii="Times New Roman" w:hAnsi="Times New Roman" w:cs="Times New Roman"/>
          <w:sz w:val="24"/>
          <w:szCs w:val="24"/>
        </w:rPr>
        <w:t>nome viene dopo un elenco di</w:t>
      </w:r>
      <w:r>
        <w:rPr>
          <w:rFonts w:ascii="Times New Roman" w:hAnsi="Times New Roman" w:cs="Times New Roman"/>
          <w:sz w:val="24"/>
          <w:szCs w:val="24"/>
        </w:rPr>
        <w:t xml:space="preserve"> compagni</w:t>
      </w:r>
      <w:r w:rsidR="00667884">
        <w:rPr>
          <w:rFonts w:ascii="Times New Roman" w:hAnsi="Times New Roman" w:cs="Times New Roman"/>
          <w:sz w:val="24"/>
          <w:szCs w:val="24"/>
        </w:rPr>
        <w:t xml:space="preserve"> (Aristarco, Marco, Gesù, </w:t>
      </w:r>
      <w:proofErr w:type="spellStart"/>
      <w:r w:rsidR="00667884">
        <w:rPr>
          <w:rFonts w:ascii="Times New Roman" w:hAnsi="Times New Roman" w:cs="Times New Roman"/>
          <w:sz w:val="24"/>
          <w:szCs w:val="24"/>
        </w:rPr>
        <w:t>Epafra</w:t>
      </w:r>
      <w:proofErr w:type="spellEnd"/>
      <w:r w:rsidR="00667884">
        <w:rPr>
          <w:rFonts w:ascii="Times New Roman" w:hAnsi="Times New Roman" w:cs="Times New Roman"/>
          <w:sz w:val="24"/>
          <w:szCs w:val="24"/>
        </w:rPr>
        <w:t>)</w:t>
      </w:r>
      <w:r>
        <w:rPr>
          <w:rFonts w:ascii="Times New Roman" w:hAnsi="Times New Roman" w:cs="Times New Roman"/>
          <w:sz w:val="24"/>
          <w:szCs w:val="24"/>
        </w:rPr>
        <w:t xml:space="preserve"> che vengono dalla circoncisione, ossia dal giudaismo (4, 11). Sembra dunque che anche Luca, che fa parte della lista seguente, non debba essere considerato parte dei compagni giudei di Paolo. Una conferma interna all’opera può venire da Lc 2, 22: qui infatti Luca sembra pensare ad una purificazione riguardante non solo la donna ma anche l’uomo: questo errore non sarebbe plausibile per un autore giudeocristiano. Infine la su</w:t>
      </w:r>
      <w:r w:rsidR="00667884">
        <w:rPr>
          <w:rFonts w:ascii="Times New Roman" w:hAnsi="Times New Roman" w:cs="Times New Roman"/>
          <w:sz w:val="24"/>
          <w:szCs w:val="24"/>
        </w:rPr>
        <w:t>a descrizione geografica della P</w:t>
      </w:r>
      <w:r>
        <w:rPr>
          <w:rFonts w:ascii="Times New Roman" w:hAnsi="Times New Roman" w:cs="Times New Roman"/>
          <w:sz w:val="24"/>
          <w:szCs w:val="24"/>
        </w:rPr>
        <w:t xml:space="preserve">alestina non è accurata (cfr. 4, 44; 17, 11). Ulteriori elementi vengono dal suo stile greco, con una grande capacità di imitazione di stili diversi, dalla retorica classica del discorso di Paolo all’areopago di Atene (At 17, 16 – 31), al prologo delle opere storiche in Lc 1, 1 – 3, allo stile della LXX nei racconti dell’infanzia (Lc 1 – 2). Nel prologo egli si include tra coloro che hanno raccolto le notizie dai testimoni oculari e ministri della parola. </w:t>
      </w:r>
    </w:p>
    <w:p w:rsidR="003D2C8B" w:rsidRPr="00EB0DDD"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Da questi elementi possiamo dedurre che Luca è un greco, di livello culturale alto, con una profonda conoscenza della LXX (traduzione greca dell’Antico Testamento). Egli è un pagano convertito al cristianesimo a causa dell’incontro con Paolo e con la prima comunità cristiana. La sua conoscenza dell’Antico Testamento si può giustificare anche ipotizzando che prima dell’incontro con Cristo, Luca fosse un timorato di Dio, ossia un pagano in contatto col giudaismo sinagogale. </w:t>
      </w:r>
    </w:p>
    <w:p w:rsidR="003D2C8B" w:rsidRDefault="003D2C8B" w:rsidP="003D2C8B">
      <w:pPr>
        <w:jc w:val="both"/>
        <w:rPr>
          <w:rFonts w:ascii="Times New Roman" w:hAnsi="Times New Roman" w:cs="Times New Roman"/>
          <w:sz w:val="28"/>
          <w:szCs w:val="24"/>
        </w:rPr>
      </w:pPr>
      <w:r>
        <w:rPr>
          <w:rFonts w:ascii="Times New Roman" w:hAnsi="Times New Roman" w:cs="Times New Roman"/>
          <w:sz w:val="28"/>
          <w:szCs w:val="24"/>
        </w:rPr>
        <w:t>5. 3 LETTORE IMPLICITO</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Le ultime righe del libro degli Atti degli Apostoli (At 28, 25 – 28) si riferiscono al compiersi delle profezie dell’Antico Testamento nella conversione dei gentili al Vangelo. Questa osservazione mostra già in modo assai probabile che il Vangelo di Luca sia stato scritto per un uditorio di pagani e non di giudeocristiani. Inoltre Luca lascia cadere le espressioni aramaiche di Marco e nomi di luogo, perché probabilmente non potevano essere compresi dal suo lettore. Ancora nella sua narrazione della vita e della passione di Gesù Luca cerca di scagionarlo da ogni riferimento alla violenza, alla trasgressione della legge romana e a connotazioni di tipo politico/militare, insistendo molto sulla sua innocenza (cfr. 23, 4. 21. 41). Probabilmente si preoccupa che il lettore pagano non percepisca il Vangelo come in opposizione all’impero romano e alle sue leggi (cfr. At 17, 7), accusa che poteva facilmente essere rivolta anche da giudei ostili. Ancora</w:t>
      </w:r>
      <w:r w:rsidRPr="000F28FE">
        <w:rPr>
          <w:rFonts w:ascii="Times New Roman" w:hAnsi="Times New Roman" w:cs="Times New Roman"/>
          <w:sz w:val="24"/>
          <w:szCs w:val="24"/>
        </w:rPr>
        <w:t xml:space="preserve"> ci sono caratteristiche nella presentazione di Gesù</w:t>
      </w:r>
      <w:r>
        <w:rPr>
          <w:rFonts w:ascii="Times New Roman" w:hAnsi="Times New Roman" w:cs="Times New Roman"/>
          <w:sz w:val="24"/>
          <w:szCs w:val="24"/>
        </w:rPr>
        <w:t xml:space="preserve"> che riflettono il romanzo ellenistico pagano, come ad esempio la narrazione dell’infanzia e dell’adolescenza di</w:t>
      </w:r>
      <w:r w:rsidRPr="000F28FE">
        <w:rPr>
          <w:rFonts w:ascii="Times New Roman" w:hAnsi="Times New Roman" w:cs="Times New Roman"/>
          <w:sz w:val="24"/>
          <w:szCs w:val="24"/>
        </w:rPr>
        <w:t xml:space="preserve"> Gesù. </w:t>
      </w:r>
      <w:r>
        <w:rPr>
          <w:rFonts w:ascii="Times New Roman" w:hAnsi="Times New Roman" w:cs="Times New Roman"/>
          <w:sz w:val="24"/>
          <w:szCs w:val="24"/>
        </w:rPr>
        <w:t>Infine l</w:t>
      </w:r>
      <w:r w:rsidRPr="000F28FE">
        <w:rPr>
          <w:rFonts w:ascii="Times New Roman" w:hAnsi="Times New Roman" w:cs="Times New Roman"/>
          <w:sz w:val="24"/>
          <w:szCs w:val="24"/>
        </w:rPr>
        <w:t>a resistenza a presentare Gesù sofferente e l’insistenza sulla consolazione si addice particolarmente ad una presentazione adatta al mondo pagano.</w:t>
      </w:r>
      <w:r>
        <w:rPr>
          <w:rFonts w:ascii="Times New Roman" w:hAnsi="Times New Roman" w:cs="Times New Roman"/>
          <w:sz w:val="24"/>
          <w:szCs w:val="24"/>
        </w:rPr>
        <w:t xml:space="preserve"> L</w:t>
      </w:r>
      <w:r w:rsidRPr="000F28FE">
        <w:rPr>
          <w:rFonts w:ascii="Times New Roman" w:hAnsi="Times New Roman" w:cs="Times New Roman"/>
          <w:sz w:val="24"/>
          <w:szCs w:val="24"/>
        </w:rPr>
        <w:t>a tradizione secondo cui L</w:t>
      </w:r>
      <w:r>
        <w:rPr>
          <w:rFonts w:ascii="Times New Roman" w:hAnsi="Times New Roman" w:cs="Times New Roman"/>
          <w:sz w:val="24"/>
          <w:szCs w:val="24"/>
        </w:rPr>
        <w:t>uca</w:t>
      </w:r>
      <w:r w:rsidRPr="000F28FE">
        <w:rPr>
          <w:rFonts w:ascii="Times New Roman" w:hAnsi="Times New Roman" w:cs="Times New Roman"/>
          <w:sz w:val="24"/>
          <w:szCs w:val="24"/>
        </w:rPr>
        <w:t xml:space="preserve"> fu compagno </w:t>
      </w:r>
      <w:r>
        <w:rPr>
          <w:rFonts w:ascii="Times New Roman" w:hAnsi="Times New Roman" w:cs="Times New Roman"/>
          <w:sz w:val="24"/>
          <w:szCs w:val="24"/>
        </w:rPr>
        <w:t>di Paolo rende verisimile che Lc/Atti fossero in</w:t>
      </w:r>
      <w:r w:rsidRPr="000F28FE">
        <w:rPr>
          <w:rFonts w:ascii="Times New Roman" w:hAnsi="Times New Roman" w:cs="Times New Roman"/>
          <w:sz w:val="24"/>
          <w:szCs w:val="24"/>
        </w:rPr>
        <w:t>dirizzati a chiese che avevano avuto origine dalla missione paolina.</w:t>
      </w:r>
    </w:p>
    <w:p w:rsidR="003D2C8B"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 xml:space="preserve"> </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8"/>
          <w:szCs w:val="24"/>
        </w:rPr>
      </w:pPr>
      <w:r>
        <w:rPr>
          <w:rFonts w:ascii="Times New Roman" w:hAnsi="Times New Roman" w:cs="Times New Roman"/>
          <w:sz w:val="28"/>
          <w:szCs w:val="24"/>
        </w:rPr>
        <w:t xml:space="preserve">5. 4 DATAZIONE </w:t>
      </w:r>
    </w:p>
    <w:p w:rsidR="003D2C8B" w:rsidRPr="00F73244"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Gli esegeti sono </w:t>
      </w:r>
      <w:proofErr w:type="spellStart"/>
      <w:r>
        <w:rPr>
          <w:rFonts w:ascii="Times New Roman" w:hAnsi="Times New Roman" w:cs="Times New Roman"/>
          <w:sz w:val="24"/>
          <w:szCs w:val="24"/>
        </w:rPr>
        <w:t>pressochè</w:t>
      </w:r>
      <w:proofErr w:type="spellEnd"/>
      <w:r>
        <w:rPr>
          <w:rFonts w:ascii="Times New Roman" w:hAnsi="Times New Roman" w:cs="Times New Roman"/>
          <w:sz w:val="24"/>
          <w:szCs w:val="24"/>
        </w:rPr>
        <w:t xml:space="preserve"> concordi nel ritenere che Luca abbia utilizzato Marco come fonte (cfr. teoria delle due fonti). Su tale base, dal momento che Marco va datato a cavallo della distruzione di Gerusalemme e del Tempio ad opera di Tito (70 d.C.), bisogna datare Luca almeno dopo l’80 d.C.. Infine non è ipotizzabile una datazione posteriore al 100 d.C. dal momento che non c’è traccia nell’opera lucana di un modello ecclesiale evoluto come quello (Vescovo – presbiteri – diaconi) testimoniato da Ignazio di Antiochia nelle sue lettere, databili all’inizio del II sec., ma si parla soltanto di “presbiteri”.</w:t>
      </w:r>
    </w:p>
    <w:p w:rsidR="003D2C8B" w:rsidRDefault="003D2C8B" w:rsidP="003D2C8B">
      <w:pPr>
        <w:jc w:val="both"/>
        <w:rPr>
          <w:rFonts w:ascii="Times New Roman" w:hAnsi="Times New Roman" w:cs="Times New Roman"/>
          <w:sz w:val="28"/>
          <w:szCs w:val="24"/>
        </w:rPr>
      </w:pPr>
      <w:r>
        <w:rPr>
          <w:rFonts w:ascii="Times New Roman" w:hAnsi="Times New Roman" w:cs="Times New Roman"/>
          <w:sz w:val="28"/>
          <w:szCs w:val="24"/>
        </w:rPr>
        <w:t xml:space="preserve">5.4 COMPOSIZIONE NARRATIVA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5.4.1 COMPOSIZIONE NARRATIVA GLOBALE</w:t>
      </w: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L</w:t>
      </w:r>
      <w:r w:rsidRPr="00D36DEB">
        <w:rPr>
          <w:rFonts w:ascii="Times New Roman" w:hAnsi="Times New Roman" w:cs="Times New Roman"/>
          <w:sz w:val="24"/>
          <w:szCs w:val="24"/>
        </w:rPr>
        <w:t xml:space="preserve">a composizione obbedisce ad un progetto globale, già anticipato in Lc 4, 16 – 28, episodio dell’annuncio di Gesù a Nazareth. Infatti nei </w:t>
      </w:r>
      <w:proofErr w:type="spellStart"/>
      <w:r w:rsidRPr="00D36DEB">
        <w:rPr>
          <w:rFonts w:ascii="Times New Roman" w:hAnsi="Times New Roman" w:cs="Times New Roman"/>
          <w:sz w:val="24"/>
          <w:szCs w:val="24"/>
        </w:rPr>
        <w:t>vv</w:t>
      </w:r>
      <w:proofErr w:type="spellEnd"/>
      <w:r w:rsidRPr="00D36DEB">
        <w:rPr>
          <w:rFonts w:ascii="Times New Roman" w:hAnsi="Times New Roman" w:cs="Times New Roman"/>
          <w:sz w:val="24"/>
          <w:szCs w:val="24"/>
        </w:rPr>
        <w:t>. 24 – 27 Gesù stesso si presenta come il compimento dell’annuncio e del destino dei profeti, annuncio universale rivolto alle nazioni, che passa attraverso il rif</w:t>
      </w:r>
      <w:r w:rsidR="00007584">
        <w:rPr>
          <w:rFonts w:ascii="Times New Roman" w:hAnsi="Times New Roman" w:cs="Times New Roman"/>
          <w:sz w:val="24"/>
          <w:szCs w:val="24"/>
        </w:rPr>
        <w:t>iuto del suo popolo. Egl</w:t>
      </w:r>
      <w:r w:rsidRPr="00D36DEB">
        <w:rPr>
          <w:rFonts w:ascii="Times New Roman" w:hAnsi="Times New Roman" w:cs="Times New Roman"/>
          <w:sz w:val="24"/>
          <w:szCs w:val="24"/>
        </w:rPr>
        <w:t>i è, come già affermato da Simeone, in una preghiera rivolta a Dio: “luce per rivelarti ai popoli, e gloria del tuo popolo Israele”</w:t>
      </w:r>
      <w:r w:rsidR="00007584">
        <w:rPr>
          <w:rFonts w:ascii="Times New Roman" w:hAnsi="Times New Roman" w:cs="Times New Roman"/>
          <w:sz w:val="24"/>
          <w:szCs w:val="24"/>
        </w:rPr>
        <w:t xml:space="preserve"> (2, 32)</w:t>
      </w:r>
      <w:r w:rsidRPr="00D36DEB">
        <w:rPr>
          <w:rFonts w:ascii="Times New Roman" w:hAnsi="Times New Roman" w:cs="Times New Roman"/>
          <w:sz w:val="24"/>
          <w:szCs w:val="24"/>
        </w:rPr>
        <w:t xml:space="preserve">. Questo progetto di rivelazione culmina nella passione, morte e resurrezione di Cristo a Gerusalemme e nell’annuncio a tutti i popoli in vista della loro conversione e del perdono dei peccati (cfr. Lc 24, 46 – 47). Se la prima parte della rivelazione si compie nel Vangelo la seconda parte di compie con gli Atti degli Apostoli. La prima parte va dalla Galilea a Gerusalemme, dove il mistero pasquale culmina con la resurrezione e l’ascensione, la seconda parte invece da Gerusalemme fino a Roma, che rappresenta, per la presenza di Cesare, a cui Paolo si era appellato, il centro simbolico dell’universalità dei popoli pagani. Il libro degli Atti si conclude infatti con il compimento della profezia </w:t>
      </w:r>
      <w:proofErr w:type="spellStart"/>
      <w:r w:rsidRPr="00D36DEB">
        <w:rPr>
          <w:rFonts w:ascii="Times New Roman" w:hAnsi="Times New Roman" w:cs="Times New Roman"/>
          <w:sz w:val="24"/>
          <w:szCs w:val="24"/>
        </w:rPr>
        <w:t>Isaiana</w:t>
      </w:r>
      <w:proofErr w:type="spellEnd"/>
      <w:r w:rsidRPr="00D36DEB">
        <w:rPr>
          <w:rFonts w:ascii="Times New Roman" w:hAnsi="Times New Roman" w:cs="Times New Roman"/>
          <w:sz w:val="24"/>
          <w:szCs w:val="24"/>
        </w:rPr>
        <w:t xml:space="preserve"> (</w:t>
      </w:r>
      <w:proofErr w:type="spellStart"/>
      <w:r w:rsidRPr="00D36DEB">
        <w:rPr>
          <w:rFonts w:ascii="Times New Roman" w:hAnsi="Times New Roman" w:cs="Times New Roman"/>
          <w:sz w:val="24"/>
          <w:szCs w:val="24"/>
        </w:rPr>
        <w:t>Is</w:t>
      </w:r>
      <w:proofErr w:type="spellEnd"/>
      <w:r w:rsidRPr="00D36DEB">
        <w:rPr>
          <w:rFonts w:ascii="Times New Roman" w:hAnsi="Times New Roman" w:cs="Times New Roman"/>
          <w:sz w:val="24"/>
          <w:szCs w:val="24"/>
        </w:rPr>
        <w:t xml:space="preserve"> 6, 9 – 10) interpretata alla luce della storia della salvezza, per la quale il rifiuto del Vangelo da parte dei giudei apre l’annuncio a tutti i popoli pagani (cfr. 28, 28).  Si comprende allora perché in questo progetto narrativo non trovi posto il martirio degli apostoli. A Luca è infatti sufficiente narrare l’arrivo del Vangelo fino ai confini della terra e inoltre ha già parlato della conformazione </w:t>
      </w:r>
      <w:proofErr w:type="spellStart"/>
      <w:r w:rsidRPr="00D36DEB">
        <w:rPr>
          <w:rFonts w:ascii="Times New Roman" w:hAnsi="Times New Roman" w:cs="Times New Roman"/>
          <w:sz w:val="24"/>
          <w:szCs w:val="24"/>
        </w:rPr>
        <w:t>martiriale</w:t>
      </w:r>
      <w:proofErr w:type="spellEnd"/>
      <w:r w:rsidRPr="00D36DEB">
        <w:rPr>
          <w:rFonts w:ascii="Times New Roman" w:hAnsi="Times New Roman" w:cs="Times New Roman"/>
          <w:sz w:val="24"/>
          <w:szCs w:val="24"/>
        </w:rPr>
        <w:t xml:space="preserve"> del discepolo a Cristo narrando la morte di Stefano e anche le sofferenze di Paolo. Infine si comprende anche il grande ruolo che Paolo assume in tutta la seconda parte del libro. Egli è infatti l’Apostolo, che porta a compimento il disegno profetico con l’annuncio del Vangelo ai pagani.</w:t>
      </w: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8"/>
          <w:szCs w:val="24"/>
        </w:rPr>
      </w:pPr>
    </w:p>
    <w:p w:rsidR="003D2C8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5.4.1 COMPOSIZIONE NARRATIVA DEL VANGELO</w:t>
      </w:r>
    </w:p>
    <w:p w:rsidR="003D2C8B"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L</w:t>
      </w:r>
      <w:r>
        <w:rPr>
          <w:rFonts w:ascii="Times New Roman" w:hAnsi="Times New Roman" w:cs="Times New Roman"/>
          <w:sz w:val="24"/>
          <w:szCs w:val="24"/>
        </w:rPr>
        <w:t>u</w:t>
      </w:r>
      <w:r w:rsidRPr="000F28FE">
        <w:rPr>
          <w:rFonts w:ascii="Times New Roman" w:hAnsi="Times New Roman" w:cs="Times New Roman"/>
          <w:sz w:val="24"/>
          <w:szCs w:val="24"/>
        </w:rPr>
        <w:t>c</w:t>
      </w:r>
      <w:r>
        <w:rPr>
          <w:rFonts w:ascii="Times New Roman" w:hAnsi="Times New Roman" w:cs="Times New Roman"/>
          <w:sz w:val="24"/>
          <w:szCs w:val="24"/>
        </w:rPr>
        <w:t>a</w:t>
      </w:r>
      <w:r w:rsidRPr="000F28FE">
        <w:rPr>
          <w:rFonts w:ascii="Times New Roman" w:hAnsi="Times New Roman" w:cs="Times New Roman"/>
          <w:sz w:val="24"/>
          <w:szCs w:val="24"/>
        </w:rPr>
        <w:t xml:space="preserve"> presenta lo stesso schema generale dei vangeli di Matteo e di Marco: un’introduzione, la predicazione di Gesù i</w:t>
      </w:r>
      <w:r w:rsidR="00007584">
        <w:rPr>
          <w:rFonts w:ascii="Times New Roman" w:hAnsi="Times New Roman" w:cs="Times New Roman"/>
          <w:sz w:val="24"/>
          <w:szCs w:val="24"/>
        </w:rPr>
        <w:t>n Galilea, la sua salita verso G</w:t>
      </w:r>
      <w:r w:rsidRPr="000F28FE">
        <w:rPr>
          <w:rFonts w:ascii="Times New Roman" w:hAnsi="Times New Roman" w:cs="Times New Roman"/>
          <w:sz w:val="24"/>
          <w:szCs w:val="24"/>
        </w:rPr>
        <w:t>erusalemme, il compimento finale della sua missione in questa città attraverso la passione e resurrezione.</w:t>
      </w:r>
      <w:r>
        <w:rPr>
          <w:rFonts w:ascii="Times New Roman" w:hAnsi="Times New Roman" w:cs="Times New Roman"/>
          <w:sz w:val="24"/>
          <w:szCs w:val="24"/>
        </w:rPr>
        <w:t xml:space="preserve"> Ma la costruzione di Luca è ela</w:t>
      </w:r>
      <w:r w:rsidRPr="000F28FE">
        <w:rPr>
          <w:rFonts w:ascii="Times New Roman" w:hAnsi="Times New Roman" w:cs="Times New Roman"/>
          <w:sz w:val="24"/>
          <w:szCs w:val="24"/>
        </w:rPr>
        <w:t>borata con cura allo scopo di far risaltare in questa st</w:t>
      </w:r>
      <w:r>
        <w:rPr>
          <w:rFonts w:ascii="Times New Roman" w:hAnsi="Times New Roman" w:cs="Times New Roman"/>
          <w:sz w:val="24"/>
          <w:szCs w:val="24"/>
        </w:rPr>
        <w:t>oria i tempi e i luoghi della s</w:t>
      </w:r>
      <w:r w:rsidRPr="000F28FE">
        <w:rPr>
          <w:rFonts w:ascii="Times New Roman" w:hAnsi="Times New Roman" w:cs="Times New Roman"/>
          <w:sz w:val="24"/>
          <w:szCs w:val="24"/>
        </w:rPr>
        <w:t>t</w:t>
      </w:r>
      <w:r>
        <w:rPr>
          <w:rFonts w:ascii="Times New Roman" w:hAnsi="Times New Roman" w:cs="Times New Roman"/>
          <w:sz w:val="24"/>
          <w:szCs w:val="24"/>
        </w:rPr>
        <w:t>o</w:t>
      </w:r>
      <w:r w:rsidRPr="000F28FE">
        <w:rPr>
          <w:rFonts w:ascii="Times New Roman" w:hAnsi="Times New Roman" w:cs="Times New Roman"/>
          <w:sz w:val="24"/>
          <w:szCs w:val="24"/>
        </w:rPr>
        <w:t>ria della salvezza.</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I SEZIONE: TEMPO DELLA NASCITA.</w:t>
      </w:r>
    </w:p>
    <w:p w:rsidR="003D2C8B"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 xml:space="preserve"> </w:t>
      </w:r>
      <w:r>
        <w:rPr>
          <w:rFonts w:ascii="Times New Roman" w:hAnsi="Times New Roman" w:cs="Times New Roman"/>
          <w:sz w:val="24"/>
          <w:szCs w:val="24"/>
        </w:rPr>
        <w:t xml:space="preserve">Fino a 4, 3 Luca introduce tutto il quadro narrativo di Luca / Atti con la sezione dell’infanzia (1, 5 – 2, 51), del battesimo e delle tentazioni (3, 1 - 4, 13), ponendo la nascita e il ministero storico di Gesù in rapporto con Giovanni il Battista. Gesù è il messia dotato di Spirito Santo (4, 1), il Figlio di Dio (3, 22; 4, 9) che compie le promesse dell’Antico Testamento, globalmente rappresentate dalla predicazione del Battista (cfr. 3, 1 – 6).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II SEZIONE: TEMPO DEL MINISTERO STORICO. INIZIO IN GALILEA.</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 Con la prima predicazione a Nazareth (4, 14 – 29) </w:t>
      </w:r>
      <w:proofErr w:type="spellStart"/>
      <w:r>
        <w:rPr>
          <w:rFonts w:ascii="Times New Roman" w:hAnsi="Times New Roman" w:cs="Times New Roman"/>
          <w:sz w:val="24"/>
          <w:szCs w:val="24"/>
        </w:rPr>
        <w:t>ricapitolativa</w:t>
      </w:r>
      <w:proofErr w:type="spellEnd"/>
      <w:r>
        <w:rPr>
          <w:rFonts w:ascii="Times New Roman" w:hAnsi="Times New Roman" w:cs="Times New Roman"/>
          <w:sz w:val="24"/>
          <w:szCs w:val="24"/>
        </w:rPr>
        <w:t xml:space="preserve"> del progetto di Dio che, passando attraverso il rifiuto dei suoi, vuole portare il Vangelo fino ai pagani (cfr. 4, 25 – 27) inizia la nuova sezione del ministero di Gesù in Galilea, che si protrae fino a 9, 50. Dopo la prima giornata missionaria a Cafarnao (4, 31 – 44 cfr. Mc 1, 21 - 34 ) Luca, distanziandosi dalla sua fonte marciana, colloca la chiamata dei discepoli (5, 1 – 11) ma poi ritorna a seguire l’ordine di Marco con la guarigione del lebbroso ( 5, 12 – 16 cfr. Mc 1, 40 – 45).  Fino a 6, 11 Luca pone una serie di cinque controversie con i farisei, s</w:t>
      </w:r>
      <w:r w:rsidR="00007584">
        <w:rPr>
          <w:rFonts w:ascii="Times New Roman" w:hAnsi="Times New Roman" w:cs="Times New Roman"/>
          <w:sz w:val="24"/>
          <w:szCs w:val="24"/>
        </w:rPr>
        <w:t>eguendo Mc 2, 1 – 3, 6. Da 6, 17</w:t>
      </w:r>
      <w:r>
        <w:rPr>
          <w:rFonts w:ascii="Times New Roman" w:hAnsi="Times New Roman" w:cs="Times New Roman"/>
          <w:sz w:val="24"/>
          <w:szCs w:val="24"/>
        </w:rPr>
        <w:t xml:space="preserve"> a 8, 3 Luca abbandona l’ordine di Marco e segue piuttosto un filo conduttore a partire da materiale in comune con Matteo (cfr. Mt 5 – 8). Si tratta del discorso di Gesù sulle beatitudini e sull’amore del nemico (Lc  6, 17 – 49) e di compimento delle promesse messianiche in Gesù a partire dalla testimonianza del Battista (7, 18 – 50). La sequenza seguente (Lc 8, 4 – 25) riprende Marco con la sezione delle parabole del Regno (cfr. Mc 4, 1 – 41) e con le domande sull’identità di Gesù, la confessione di Pietro e gli annunci della passione (Lc 9, 1 – 50. Cfr. Mc 6, 1 – 9, 40).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III SEZIONE: TEMPO DEL MINISTERO STORICO. GESÙ IN VIAGGIO VERSO GERUSALEMME.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Da 9, 51 a 19, 27  Gesù si mette in viaggio verso Gerusalemme e il narratore si ferma ripetutamente a ricordarlo, dopo lunghe sezioni discorsive (cfr. 13, 22; 17, 11). In 19, 28 con la narrazione dell’ingresso di Gesù a Gerusalemme termina la sezione del viaggio. Unicamente lucani sono: l’incontro ostile con un villaggio samaritano (9, 51 – 56), la missione dei settantadue (10, 1 – 12), la parabola del buon samaritano (10, 29 – 37), la parabola della donna che ha perso e ritrovato la sua moneta e del padre misericordioso (15, 8 – 32), dell’amministratore disonesto (16, 1 – 8), del giudice iniquo (18, 1 – 8) del fariseo e pubblicano (18, 9 – 14) e i racconti dei dieci lebbrosi (17, 11 – 19) e di Zaccheo (19, 1 – 10). </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IV SEZIONE: TEMPO DEL MINISTERO </w:t>
      </w:r>
      <w:proofErr w:type="spellStart"/>
      <w:r>
        <w:rPr>
          <w:rFonts w:ascii="Times New Roman" w:hAnsi="Times New Roman" w:cs="Times New Roman"/>
          <w:sz w:val="24"/>
          <w:szCs w:val="24"/>
        </w:rPr>
        <w:t>ST</w:t>
      </w:r>
      <w:r w:rsidR="006D4028">
        <w:rPr>
          <w:rFonts w:ascii="Times New Roman" w:hAnsi="Times New Roman" w:cs="Times New Roman"/>
          <w:sz w:val="24"/>
          <w:szCs w:val="24"/>
        </w:rPr>
        <w:t>k</w:t>
      </w:r>
      <w:r>
        <w:rPr>
          <w:rFonts w:ascii="Times New Roman" w:hAnsi="Times New Roman" w:cs="Times New Roman"/>
          <w:sz w:val="24"/>
          <w:szCs w:val="24"/>
        </w:rPr>
        <w:t>ORICO</w:t>
      </w:r>
      <w:proofErr w:type="spellEnd"/>
      <w:r>
        <w:rPr>
          <w:rFonts w:ascii="Times New Roman" w:hAnsi="Times New Roman" w:cs="Times New Roman"/>
          <w:sz w:val="24"/>
          <w:szCs w:val="24"/>
        </w:rPr>
        <w:t xml:space="preserve">. GERUSALEMME.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Da 19, 28 a 21, 38 viene narrato il ministero di Gesù a Gerusalemme. Dopo il suo ingresso regale (19, 28 – 38) Gesù dà inizio al suo insegnamento nel tempio, che prova gravi contrasti e domande da parte dell’autorità ( 19, 47 – 20, 8). Da 20,9 fino a 20, 44 una parabola (vignaioli omicidi) e tre controversie (tributo a Cesare, resurrezione dei morti, Cristo figlio di Dio e Signore di Davide) vengono concluse dal giudizio degli scribi e dei ricchi (20, 45 – 47. 21, 1 – 4). In 21, 5 – 37 si trova il discorso escatologico.</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V SEZIONE: FINE DEL TEMPO STORICO DI GESÙ. PASSIONE, MORTE,  RESURREZIONE E ASCENSIONE  IN GERUSALEMME</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Da 22, 1 a 24, 53 si trova la sezione del racconto della passione/morte ( 22- 23) e resurrezione (24) di Gesù. Unicamente lucano è il racconto dei discepoli di Emmaus (Lc 24, 13 – 35). </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Luca</w:t>
      </w:r>
      <w:r w:rsidRPr="000F28FE">
        <w:rPr>
          <w:rFonts w:ascii="Times New Roman" w:hAnsi="Times New Roman" w:cs="Times New Roman"/>
          <w:sz w:val="24"/>
          <w:szCs w:val="24"/>
        </w:rPr>
        <w:t xml:space="preserve"> segna con chiarezza la distinzione tra il tempo  </w:t>
      </w:r>
      <w:r>
        <w:rPr>
          <w:rFonts w:ascii="Times New Roman" w:hAnsi="Times New Roman" w:cs="Times New Roman"/>
          <w:sz w:val="24"/>
          <w:szCs w:val="24"/>
        </w:rPr>
        <w:t>di Gesù e il tempo della Chiesa, perché dedica il primo libro al tempo storico di Gesù e il secondo al tempo della Chiesa.  F</w:t>
      </w:r>
      <w:r w:rsidRPr="000F28FE">
        <w:rPr>
          <w:rFonts w:ascii="Times New Roman" w:hAnsi="Times New Roman" w:cs="Times New Roman"/>
          <w:sz w:val="24"/>
          <w:szCs w:val="24"/>
        </w:rPr>
        <w:t>in dall’inizio sottolinea l’oggi della salvezza, indirizzata soprattutto ai poveri e agli ultimi.</w:t>
      </w:r>
      <w:r>
        <w:rPr>
          <w:rFonts w:ascii="Times New Roman" w:hAnsi="Times New Roman" w:cs="Times New Roman"/>
          <w:sz w:val="24"/>
          <w:szCs w:val="24"/>
        </w:rPr>
        <w:t xml:space="preserve"> </w:t>
      </w:r>
      <w:r w:rsidRPr="000F28FE">
        <w:rPr>
          <w:rFonts w:ascii="Times New Roman" w:hAnsi="Times New Roman" w:cs="Times New Roman"/>
          <w:sz w:val="24"/>
          <w:szCs w:val="24"/>
        </w:rPr>
        <w:t>L’opera di Gesù è il tempo della visita, il momento che occorre cogliere</w:t>
      </w:r>
      <w:r>
        <w:rPr>
          <w:rFonts w:ascii="Times New Roman" w:hAnsi="Times New Roman" w:cs="Times New Roman"/>
          <w:sz w:val="24"/>
          <w:szCs w:val="24"/>
        </w:rPr>
        <w:t xml:space="preserve"> (Lc 2, 29. 19, 42 – 44), con una decisione definitiva di</w:t>
      </w:r>
      <w:r w:rsidRPr="000F28FE">
        <w:rPr>
          <w:rFonts w:ascii="Times New Roman" w:hAnsi="Times New Roman" w:cs="Times New Roman"/>
          <w:sz w:val="24"/>
          <w:szCs w:val="24"/>
        </w:rPr>
        <w:t xml:space="preserve"> conversione ne</w:t>
      </w:r>
      <w:r>
        <w:rPr>
          <w:rFonts w:ascii="Times New Roman" w:hAnsi="Times New Roman" w:cs="Times New Roman"/>
          <w:sz w:val="24"/>
          <w:szCs w:val="24"/>
        </w:rPr>
        <w:t>ll’ora della salvezza (Lc 4, 2. 7, 29 - 30</w:t>
      </w:r>
      <w:r w:rsidRPr="000F28FE">
        <w:rPr>
          <w:rFonts w:ascii="Times New Roman" w:hAnsi="Times New Roman" w:cs="Times New Roman"/>
          <w:sz w:val="24"/>
          <w:szCs w:val="24"/>
        </w:rPr>
        <w:t>).</w:t>
      </w:r>
      <w:r>
        <w:rPr>
          <w:rFonts w:ascii="Times New Roman" w:hAnsi="Times New Roman" w:cs="Times New Roman"/>
          <w:sz w:val="24"/>
          <w:szCs w:val="24"/>
        </w:rPr>
        <w:t xml:space="preserve"> L’itinerario storico di Gesù va dalla Galilea a Gerusalemme, luogo in cui si compie la sua vicenda terrena con l’ascensione (Lc 24, 50 – 53).</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5.4.2 COMPOSIZIONE NARRATIVA E TEOLOGICA DI ATTI</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1, 1 – 14 introduzione</w:t>
      </w:r>
      <w:r>
        <w:rPr>
          <w:rFonts w:ascii="Times New Roman" w:hAnsi="Times New Roman" w:cs="Times New Roman"/>
          <w:sz w:val="24"/>
          <w:szCs w:val="24"/>
        </w:rPr>
        <w:t xml:space="preserve"> con la narrazione dell’ascensione (1, 6 – 10), che si </w:t>
      </w:r>
      <w:proofErr w:type="spellStart"/>
      <w:r>
        <w:rPr>
          <w:rFonts w:ascii="Times New Roman" w:hAnsi="Times New Roman" w:cs="Times New Roman"/>
          <w:sz w:val="24"/>
          <w:szCs w:val="24"/>
        </w:rPr>
        <w:t>riaggiancia</w:t>
      </w:r>
      <w:proofErr w:type="spellEnd"/>
      <w:r>
        <w:rPr>
          <w:rFonts w:ascii="Times New Roman" w:hAnsi="Times New Roman" w:cs="Times New Roman"/>
          <w:sz w:val="24"/>
          <w:szCs w:val="24"/>
        </w:rPr>
        <w:t xml:space="preserve"> alla fine del Vangelo.</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I PARTE 1, 12 – 8, 4 è la parte in cui si parla della comunità gerosolimitana; 1, 12 – 2, 47 i Dodici e la Chiesa 2, 42 – 8, 4 comunità e missione; 2, 42 – 47 sommario come perno; 1, 12 – 14 transizione; 8, 1b – 4 II transizione.</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 xml:space="preserve">II PARTE 8, 1b – 14, 28 inizio missione con Filippo e Pietro e anticipo vicenda di Paolo. Sommario in 9, 31 e in 12, 24.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12, 24 – 14, 28 Barnaba – Paolo14, 27 – 28 transizione</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III PARTE: 14, 27 – 16, 5 assemblea di Gerusalemme 15, 25 – 16, 5 transizione</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IV PARTE: 15, 35 – 19, 22 missione di Paolo Macedonia – Acaia; Asia; Efeso</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V PARTE: 19, 20 – 28, 16 passione di Paolo; 19, 20 – 23, 11 Gerusalemme; 23, 11 – 28, 16 verso Roma</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28, 14b – 31 conclusione preceduta da transizione in 14b – 16.</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La composizione si semplifica molto considerando le due parti 1 – 12, 23 e 12, 24 – 28. Nella prima p</w:t>
      </w:r>
      <w:r>
        <w:rPr>
          <w:rFonts w:ascii="Times New Roman" w:hAnsi="Times New Roman" w:cs="Times New Roman"/>
          <w:sz w:val="24"/>
          <w:szCs w:val="24"/>
        </w:rPr>
        <w:t xml:space="preserve">arte protagonista principale è </w:t>
      </w:r>
      <w:proofErr w:type="spellStart"/>
      <w:r>
        <w:rPr>
          <w:rFonts w:ascii="Times New Roman" w:hAnsi="Times New Roman" w:cs="Times New Roman"/>
          <w:sz w:val="24"/>
          <w:szCs w:val="24"/>
        </w:rPr>
        <w:t>p</w:t>
      </w:r>
      <w:r w:rsidRPr="00D36DEB">
        <w:rPr>
          <w:rFonts w:ascii="Times New Roman" w:hAnsi="Times New Roman" w:cs="Times New Roman"/>
          <w:sz w:val="24"/>
          <w:szCs w:val="24"/>
        </w:rPr>
        <w:t>ietro</w:t>
      </w:r>
      <w:proofErr w:type="spellEnd"/>
      <w:r w:rsidRPr="00D36DEB">
        <w:rPr>
          <w:rFonts w:ascii="Times New Roman" w:hAnsi="Times New Roman" w:cs="Times New Roman"/>
          <w:sz w:val="24"/>
          <w:szCs w:val="24"/>
        </w:rPr>
        <w:t xml:space="preserve">, assieme ai dodici e ai diaconi Stefano e Filippo. Nella seconda parte il protagonista assoluto è Paolo. Le due parti sono ben allacciate insieme da </w:t>
      </w:r>
      <w:proofErr w:type="spellStart"/>
      <w:r w:rsidRPr="00D36DEB">
        <w:rPr>
          <w:rFonts w:ascii="Times New Roman" w:hAnsi="Times New Roman" w:cs="Times New Roman"/>
          <w:sz w:val="24"/>
          <w:szCs w:val="24"/>
        </w:rPr>
        <w:t>un’anticipo</w:t>
      </w:r>
      <w:proofErr w:type="spellEnd"/>
      <w:r w:rsidRPr="00D36DEB">
        <w:rPr>
          <w:rFonts w:ascii="Times New Roman" w:hAnsi="Times New Roman" w:cs="Times New Roman"/>
          <w:sz w:val="24"/>
          <w:szCs w:val="24"/>
        </w:rPr>
        <w:t xml:space="preserve"> della narrazione di Paolo in 9, 1 – 30 e una ricomparsa del protagonismo di Pietro in 15, 1 – 12, che sancisce la posizione di Paolo e Barnaba sulla loro missione ai pagani.</w:t>
      </w: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Nel tempo della Chiesa la geografia lucana ha un grande valore teologico. La missione parte da Gerusalemme e, dopo la persecuzione scoppiata a partire dall’uccisione di Stefano (8, 1), si diffonde con la dispersione dei discepoli in Giudea e Samaria (cfr. 8, 2. 4 – 8), a Cipro, in Fenicia fino ad arrivare ad Antiochia (cfr. 11, 19 – 20). Da qui inizia il cammino di Paolo che porta l’annuncio ai pagani fino ai confini del mondo, rappresentati idealmente dalla città di Roma (At 13, 28). </w:t>
      </w:r>
    </w:p>
    <w:p w:rsidR="003D2C8B" w:rsidRPr="00D6464D" w:rsidRDefault="003D2C8B" w:rsidP="003D2C8B">
      <w:pPr>
        <w:jc w:val="both"/>
        <w:rPr>
          <w:rFonts w:ascii="Times New Roman" w:hAnsi="Times New Roman" w:cs="Times New Roman"/>
          <w:sz w:val="28"/>
          <w:szCs w:val="24"/>
        </w:rPr>
      </w:pPr>
      <w:r>
        <w:rPr>
          <w:rFonts w:ascii="Times New Roman" w:hAnsi="Times New Roman" w:cs="Times New Roman"/>
          <w:sz w:val="28"/>
          <w:szCs w:val="24"/>
        </w:rPr>
        <w:t>5.5</w:t>
      </w:r>
      <w:r w:rsidRPr="00D6464D">
        <w:rPr>
          <w:rFonts w:ascii="Times New Roman" w:hAnsi="Times New Roman" w:cs="Times New Roman"/>
          <w:sz w:val="28"/>
          <w:szCs w:val="24"/>
        </w:rPr>
        <w:t xml:space="preserve"> APPROFONDIMENTO TEOLOGICO: ATTI COME PERCORSO DELLA TESTIMONIANZA.</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Gli atti sono il percorso della testimonianza. In At, 1, 8 Gesù annuncia ai suoi discepoli, subito prima di essere assunto in cielo: “mi sarete testimoni a Gerusalemme, in tutta la giudea e la Samaria e fino ai confini della terra”. Egli avendo il potere nei cieli, alla destra del padre, può ormai assicurare ai suoi discepoli una testimonianza che si allarga a cerchi concentrici fino a coprire tutta l’estensione della terra.  Si parte da Gerusalemme e dalla giudea nei primi capitoli di Atti (fino a 8, 4) per poi estendersi in Samaria con la predicazione di Filippo (</w:t>
      </w:r>
      <w:proofErr w:type="spellStart"/>
      <w:r w:rsidRPr="00D36DEB">
        <w:rPr>
          <w:rFonts w:ascii="Times New Roman" w:hAnsi="Times New Roman" w:cs="Times New Roman"/>
          <w:sz w:val="24"/>
          <w:szCs w:val="24"/>
        </w:rPr>
        <w:t>cfr</w:t>
      </w:r>
      <w:proofErr w:type="spellEnd"/>
      <w:r w:rsidRPr="00D36DEB">
        <w:rPr>
          <w:rFonts w:ascii="Times New Roman" w:hAnsi="Times New Roman" w:cs="Times New Roman"/>
          <w:sz w:val="24"/>
          <w:szCs w:val="24"/>
        </w:rPr>
        <w:t xml:space="preserve"> 8, 5 – 8. 26 – 40) ai pagani di Cesarea con Pietro (c. 10), fino ai confini della terra con Paolo.</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lastRenderedPageBreak/>
        <w:t>Cosa significa “sarete testimoni di me”? Questa espressione può indicare l’origine della testimonianza, che è Gesù , colui che ha stabilito gli apostoli come testimoni e insieme anche il contenuto della testimonianza che è Gesù stesso. Se nel Vangelo Gesù aveva mandato gli apostoli ad annunciare il regno e guarire i malati (</w:t>
      </w:r>
      <w:proofErr w:type="spellStart"/>
      <w:r w:rsidRPr="00D36DEB">
        <w:rPr>
          <w:rFonts w:ascii="Times New Roman" w:hAnsi="Times New Roman" w:cs="Times New Roman"/>
          <w:sz w:val="24"/>
          <w:szCs w:val="24"/>
        </w:rPr>
        <w:t>cfr.Lc</w:t>
      </w:r>
      <w:proofErr w:type="spellEnd"/>
      <w:r w:rsidRPr="00D36DEB">
        <w:rPr>
          <w:rFonts w:ascii="Times New Roman" w:hAnsi="Times New Roman" w:cs="Times New Roman"/>
          <w:sz w:val="24"/>
          <w:szCs w:val="24"/>
        </w:rPr>
        <w:t xml:space="preserve"> 9, 2), negli Atti degli Apostoli tale annuncio del Regno è radicalmente </w:t>
      </w:r>
      <w:proofErr w:type="spellStart"/>
      <w:r w:rsidRPr="00D36DEB">
        <w:rPr>
          <w:rFonts w:ascii="Times New Roman" w:hAnsi="Times New Roman" w:cs="Times New Roman"/>
          <w:sz w:val="24"/>
          <w:szCs w:val="24"/>
        </w:rPr>
        <w:t>cristologizzato</w:t>
      </w:r>
      <w:proofErr w:type="spellEnd"/>
      <w:r w:rsidRPr="00D36DEB">
        <w:rPr>
          <w:rFonts w:ascii="Times New Roman" w:hAnsi="Times New Roman" w:cs="Times New Roman"/>
          <w:sz w:val="24"/>
          <w:szCs w:val="24"/>
        </w:rPr>
        <w:t xml:space="preserve">.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 xml:space="preserve">L’annuncio degli Apostoli è inseparabilmente una testimonianza di Gesù e in particolare della sua resurrezione. Non a caso, quando si tratta di ricostituire il gruppo dei dodici sostituendo Giuda, i requisiti richiesti per la scelta di un nuovo membro siano l’essere testimone della resurrezione di Gesù, avendo condiviso con lui il suo ministero storico a partire dal battesimo di Giovanni fino all’ascensione. (cfr. 1, 21 – 22)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 xml:space="preserve">Questa sostituzione indica altresì una componente decisiva della testimonianza, la sua pluralità o, più esattamente, il suo carattere collegiale. Infatti Pietro sottolinea particolarmente la necessità di una persona che “ha vissuto con noi”, e di conseguenza è in grado di “testimoniare insieme”.  Quando, nel giorno di Pentecoste, Pietro parla alla folla radunata davanti agli apostoli, egli parla rappresentando anche tutti gli altri: “questo Gesù, Dio l’ha resuscitato e noi tutti ne siamo  testimoni” (At 2, 32). </w:t>
      </w:r>
    </w:p>
    <w:p w:rsidR="003D2C8B" w:rsidRPr="00D36DE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5.5.1 </w:t>
      </w:r>
      <w:r w:rsidRPr="00D36DEB">
        <w:rPr>
          <w:rFonts w:ascii="Times New Roman" w:hAnsi="Times New Roman" w:cs="Times New Roman"/>
          <w:sz w:val="24"/>
          <w:szCs w:val="24"/>
        </w:rPr>
        <w:t>LA FORZA DELLO SPIRITO</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La travolgente onda della testimonianza apostolica ha un propulsore che a tratti si manifesta nella sua identità e conferma con i suoi segni l’agire e il parlare degli apostoli: lo Spirito Santo. Annunciato già da Gesù prima della sua ascensione come forza che li sosterrà continuamente (At 1, 8), lo Spirito Santo irrompe all’improvviso sugli apostoli in lingue di fuoco che si posano ciascuna su ogni discepolo e li rendono capaci di un annuncio universale, in ogni lingua del mondo. Da quel momento inizia la testimonianza degli Apostoli, con il lungo discorso di Pietro (1, 14 – 36), che identifica in questi effetti di una parola profetica moltiplicata, il compiersi della Scrittura del profeta Gioele (1, 17 – 21). Lo Spirito conduce al compimento della Scrittura, con la nascita di un popolo profetico negli ultimi giorni e produce la gioia dei tempi messianici (cfr. 8, 8; 13, 52).</w:t>
      </w:r>
      <w:r>
        <w:rPr>
          <w:rFonts w:ascii="Times New Roman" w:hAnsi="Times New Roman" w:cs="Times New Roman"/>
          <w:sz w:val="24"/>
          <w:szCs w:val="24"/>
        </w:rPr>
        <w:t xml:space="preserve"> Questo popolo profetico  riproduce in se quelle caratteristiche che erano proprie del messia Gesù nel primo volume dell’opera lucana: esso è infatti sospinto dalla consolazione e dalla forza dello Spirito Santo. Se si vuole la Pentecoste negli Atti degli Apostoli corrisponde al battesimo d Gesù (Lc 3, 21 – 22).</w:t>
      </w:r>
      <w:r w:rsidRPr="00D36DEB">
        <w:rPr>
          <w:rFonts w:ascii="Times New Roman" w:hAnsi="Times New Roman" w:cs="Times New Roman"/>
          <w:sz w:val="24"/>
          <w:szCs w:val="24"/>
        </w:rPr>
        <w:t xml:space="preserve"> </w:t>
      </w: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Se </w:t>
      </w:r>
      <w:r w:rsidRPr="00D36DEB">
        <w:rPr>
          <w:rFonts w:ascii="Times New Roman" w:hAnsi="Times New Roman" w:cs="Times New Roman"/>
          <w:sz w:val="24"/>
          <w:szCs w:val="24"/>
        </w:rPr>
        <w:t xml:space="preserve"> nel c. 2 la parola di Pietro conferma l’agire dello Spirito riconoscendone i segni, nel c. 10 sarà viceversa lo Spirito a confermare la parola di Pietro discendendo sulla famiglia del centurione Cornelio, in quella che si può definire come una seconda Pentecoste, ossia la Pentecoste dei pagani. Lo spirito irrompe al culmine della testimonianza di Pietro, ossia quando egli dichiara il compimento della Scrittura profetica nel perdono dei peccati per mezzo del nome del risorto (10, 43 – 44). </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5.5.2 </w:t>
      </w:r>
      <w:r w:rsidRPr="00D36DEB">
        <w:rPr>
          <w:rFonts w:ascii="Times New Roman" w:hAnsi="Times New Roman" w:cs="Times New Roman"/>
          <w:sz w:val="24"/>
          <w:szCs w:val="24"/>
        </w:rPr>
        <w:t>I DISCEPOLI MODELLI DI CRISTO</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 xml:space="preserve">Gli effetti dello Spirito si rivelano nel muovere questi discepoli ad una sempre maggiore assimilazione al loro modello, Cristo. Stefano, pieno di Spirito Santo (7, 55) va incontro al suo destino di morte per lapidazione, perdonando i suoi nemici come Gesù; Paolo, colmo di Spirito Santo (13, 9) affronta i nemici della Parola di Dio con successo e predica ad Antiochia di </w:t>
      </w:r>
      <w:proofErr w:type="spellStart"/>
      <w:r w:rsidRPr="00D36DEB">
        <w:rPr>
          <w:rFonts w:ascii="Times New Roman" w:hAnsi="Times New Roman" w:cs="Times New Roman"/>
          <w:sz w:val="24"/>
          <w:szCs w:val="24"/>
        </w:rPr>
        <w:t>Pisidia</w:t>
      </w:r>
      <w:proofErr w:type="spellEnd"/>
      <w:r w:rsidRPr="00D36DEB">
        <w:rPr>
          <w:rFonts w:ascii="Times New Roman" w:hAnsi="Times New Roman" w:cs="Times New Roman"/>
          <w:sz w:val="24"/>
          <w:szCs w:val="24"/>
        </w:rPr>
        <w:t xml:space="preserve"> suscitando grande concorso di gente e l’invidia dei giudei, proprio come Gesù nel Vangelo.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 xml:space="preserve">I discepoli di Gesù con la loro vita sono testimonianza del messia. Barnaba e Paolo affermano che è Gesù ad aver ordinato loro di portare la salvezza “fino agli estremi confini della terra”, secondo la profezia di Isaia, che vede nel servo di JHWH colui che è la luce delle genti (Atti 13, 43; cfr. </w:t>
      </w:r>
      <w:proofErr w:type="spellStart"/>
      <w:r w:rsidRPr="00D36DEB">
        <w:rPr>
          <w:rFonts w:ascii="Times New Roman" w:hAnsi="Times New Roman" w:cs="Times New Roman"/>
          <w:sz w:val="24"/>
          <w:szCs w:val="24"/>
        </w:rPr>
        <w:t>Is</w:t>
      </w:r>
      <w:proofErr w:type="spellEnd"/>
      <w:r w:rsidRPr="00D36DEB">
        <w:rPr>
          <w:rFonts w:ascii="Times New Roman" w:hAnsi="Times New Roman" w:cs="Times New Roman"/>
          <w:sz w:val="24"/>
          <w:szCs w:val="24"/>
        </w:rPr>
        <w:t xml:space="preserve"> 42, 6. 9). Questa profezia compiutasi in Gesù si compie ora in Paolo e Barnaba per la parola stessa di Gesù</w:t>
      </w:r>
      <w:r>
        <w:rPr>
          <w:rFonts w:ascii="Times New Roman" w:hAnsi="Times New Roman" w:cs="Times New Roman"/>
          <w:sz w:val="24"/>
          <w:szCs w:val="24"/>
        </w:rPr>
        <w:t xml:space="preserve"> (Lc 23, 34)</w:t>
      </w:r>
      <w:r w:rsidRPr="00D36DEB">
        <w:rPr>
          <w:rFonts w:ascii="Times New Roman" w:hAnsi="Times New Roman" w:cs="Times New Roman"/>
          <w:sz w:val="24"/>
          <w:szCs w:val="24"/>
        </w:rPr>
        <w:t xml:space="preserve">, facendo di essi modelli di Cristo stesso. </w:t>
      </w:r>
    </w:p>
    <w:p w:rsidR="003D2C8B" w:rsidRPr="00D36DE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 xml:space="preserve">Come Cristo, i discepoli parlano con franchezza </w:t>
      </w:r>
      <w:r>
        <w:rPr>
          <w:rFonts w:ascii="Times New Roman" w:hAnsi="Times New Roman" w:cs="Times New Roman"/>
          <w:sz w:val="24"/>
          <w:szCs w:val="24"/>
        </w:rPr>
        <w:t>e operano segni e prodigi (</w:t>
      </w:r>
      <w:r w:rsidRPr="00D36DEB">
        <w:rPr>
          <w:rFonts w:ascii="Times New Roman" w:hAnsi="Times New Roman" w:cs="Times New Roman"/>
          <w:sz w:val="24"/>
          <w:szCs w:val="24"/>
        </w:rPr>
        <w:t>14, 3), fanno miracoli, guariscono paralitici e storpi (cfr. 8, 7</w:t>
      </w:r>
      <w:r>
        <w:rPr>
          <w:rFonts w:ascii="Times New Roman" w:hAnsi="Times New Roman" w:cs="Times New Roman"/>
          <w:sz w:val="24"/>
          <w:szCs w:val="24"/>
        </w:rPr>
        <w:t>; Lc 5, 17 - 26</w:t>
      </w:r>
      <w:r w:rsidRPr="00D36DEB">
        <w:rPr>
          <w:rFonts w:ascii="Times New Roman" w:hAnsi="Times New Roman" w:cs="Times New Roman"/>
          <w:sz w:val="24"/>
          <w:szCs w:val="24"/>
        </w:rPr>
        <w:t>), scacciano i demoni (8, 7</w:t>
      </w:r>
      <w:r>
        <w:rPr>
          <w:rFonts w:ascii="Times New Roman" w:hAnsi="Times New Roman" w:cs="Times New Roman"/>
          <w:sz w:val="24"/>
          <w:szCs w:val="24"/>
        </w:rPr>
        <w:t>; Lc 5, 31 - 37</w:t>
      </w:r>
      <w:r w:rsidRPr="00D36DEB">
        <w:rPr>
          <w:rFonts w:ascii="Times New Roman" w:hAnsi="Times New Roman" w:cs="Times New Roman"/>
          <w:sz w:val="24"/>
          <w:szCs w:val="24"/>
        </w:rPr>
        <w:t>), fanno risorgere i morti (20, 7 – 12</w:t>
      </w:r>
      <w:r>
        <w:rPr>
          <w:rFonts w:ascii="Times New Roman" w:hAnsi="Times New Roman" w:cs="Times New Roman"/>
          <w:sz w:val="24"/>
          <w:szCs w:val="24"/>
        </w:rPr>
        <w:t>; Lc 8, 40 - 56</w:t>
      </w:r>
      <w:r w:rsidRPr="00D36DEB">
        <w:rPr>
          <w:rFonts w:ascii="Times New Roman" w:hAnsi="Times New Roman" w:cs="Times New Roman"/>
          <w:sz w:val="24"/>
          <w:szCs w:val="24"/>
        </w:rPr>
        <w:t>).</w:t>
      </w:r>
    </w:p>
    <w:p w:rsidR="003D2C8B" w:rsidRDefault="003D2C8B" w:rsidP="003D2C8B">
      <w:pPr>
        <w:jc w:val="both"/>
        <w:rPr>
          <w:rFonts w:ascii="Times New Roman" w:hAnsi="Times New Roman" w:cs="Times New Roman"/>
          <w:sz w:val="24"/>
          <w:szCs w:val="24"/>
        </w:rPr>
      </w:pPr>
      <w:r w:rsidRPr="00D36DEB">
        <w:rPr>
          <w:rFonts w:ascii="Times New Roman" w:hAnsi="Times New Roman" w:cs="Times New Roman"/>
          <w:sz w:val="24"/>
          <w:szCs w:val="24"/>
        </w:rPr>
        <w:t>Come Cristo affrontano la morte e la persecuzione (cfr. 7, 55 – 60</w:t>
      </w:r>
      <w:r>
        <w:rPr>
          <w:rFonts w:ascii="Times New Roman" w:hAnsi="Times New Roman" w:cs="Times New Roman"/>
          <w:sz w:val="24"/>
          <w:szCs w:val="24"/>
        </w:rPr>
        <w:t>; Lc 22, 39 - 46</w:t>
      </w:r>
      <w:r w:rsidRPr="00D36DEB">
        <w:rPr>
          <w:rFonts w:ascii="Times New Roman" w:hAnsi="Times New Roman" w:cs="Times New Roman"/>
          <w:sz w:val="24"/>
          <w:szCs w:val="24"/>
        </w:rPr>
        <w:t>), come Cristo predicono le loro sofferenze e le affrontano nella debolezza e precarietà (cfr. 20, 23 – 24</w:t>
      </w:r>
      <w:r>
        <w:rPr>
          <w:rFonts w:ascii="Times New Roman" w:hAnsi="Times New Roman" w:cs="Times New Roman"/>
          <w:sz w:val="24"/>
          <w:szCs w:val="24"/>
        </w:rPr>
        <w:t>; Lc 9, 22</w:t>
      </w:r>
      <w:r w:rsidRPr="00D36DEB">
        <w:rPr>
          <w:rFonts w:ascii="Times New Roman" w:hAnsi="Times New Roman" w:cs="Times New Roman"/>
          <w:sz w:val="24"/>
          <w:szCs w:val="24"/>
        </w:rPr>
        <w:t>). Se Paolo ha predetto le sue sofferenze mosso dallo Spirito, negli ultimi capitoli, che narrano l’arresto di Paolo, la sua prigionia e l’arrivo a Roma, lo Spirito Santo non è quasi più citato. Come nel racconto della passione di Gesù, anche qui le forze del potere umano diventano protagoniste e sembrano sommergere la forza dello Spirito. In realtà sottotraccia il lavoro dello Spirito consiste in un’assimilazione di Paolo in catene a Cristo sofferente, così che il Vangelo possa provvidenzialmente essere testimoniato con la vita di Paolo fino a Roma.</w:t>
      </w: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5. 6</w:t>
      </w:r>
      <w:r w:rsidRPr="001023F8">
        <w:rPr>
          <w:rFonts w:ascii="Times New Roman" w:hAnsi="Times New Roman" w:cs="Times New Roman"/>
          <w:sz w:val="24"/>
          <w:szCs w:val="24"/>
        </w:rPr>
        <w:t xml:space="preserve"> ATTI 11, 19 – 26. 27 – 30; 12, 24 – 25. 13, 1 – 3.</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Dopo l’inizio della missione ai pagani, sancito dall’iniziativa di Pietro su impulso dello Spirito Santo, ora Luca si concentra sulla fondazione della comunità di Antiochia, la prima comunità in cui convivono insieme giudeo – cristiani e pagano – cristiani.</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Luca si riallaccia direttamente ad At 8, 1b – 4, dove si narra la diffusione della Parola dovuta alla provvidenziale dispersione dei discepoli dopo la persecuzione scoppiata con il martirio di Stefano. In tal modo la nascita della Chiesa di Antiochia crocevia della missione cristiana verso l’Asia e in Europa e vero laboratorio di comunione ecclesiale ed evangelizzazione finisce per dipendere direttamente dalla Chiesa di Gerusalemme e dalla “fecondità” della persecuzione che tale Chiesa madre ha dovuto subire.</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 xml:space="preserve">La breve unità letteraria di 11, 19 – 26 si può dividere in tre </w:t>
      </w:r>
      <w:proofErr w:type="spellStart"/>
      <w:r w:rsidRPr="001023F8">
        <w:rPr>
          <w:rFonts w:ascii="Times New Roman" w:hAnsi="Times New Roman" w:cs="Times New Roman"/>
          <w:sz w:val="24"/>
          <w:szCs w:val="24"/>
        </w:rPr>
        <w:t>sottounità</w:t>
      </w:r>
      <w:proofErr w:type="spellEnd"/>
      <w:r w:rsidRPr="001023F8">
        <w:rPr>
          <w:rFonts w:ascii="Times New Roman" w:hAnsi="Times New Roman" w:cs="Times New Roman"/>
          <w:sz w:val="24"/>
          <w:szCs w:val="24"/>
        </w:rPr>
        <w:t xml:space="preserve">: </w:t>
      </w:r>
      <w:proofErr w:type="spellStart"/>
      <w:r w:rsidRPr="001023F8">
        <w:rPr>
          <w:rFonts w:ascii="Times New Roman" w:hAnsi="Times New Roman" w:cs="Times New Roman"/>
          <w:sz w:val="24"/>
          <w:szCs w:val="24"/>
        </w:rPr>
        <w:t>vv</w:t>
      </w:r>
      <w:proofErr w:type="spellEnd"/>
      <w:r w:rsidRPr="001023F8">
        <w:rPr>
          <w:rFonts w:ascii="Times New Roman" w:hAnsi="Times New Roman" w:cs="Times New Roman"/>
          <w:sz w:val="24"/>
          <w:szCs w:val="24"/>
        </w:rPr>
        <w:t xml:space="preserve">. 19 – 21: arrivo dei dispersi ad Antiochia, evangelizzazione e successo. </w:t>
      </w:r>
      <w:proofErr w:type="spellStart"/>
      <w:r w:rsidRPr="001023F8">
        <w:rPr>
          <w:rFonts w:ascii="Times New Roman" w:hAnsi="Times New Roman" w:cs="Times New Roman"/>
          <w:sz w:val="24"/>
          <w:szCs w:val="24"/>
        </w:rPr>
        <w:t>vv</w:t>
      </w:r>
      <w:proofErr w:type="spellEnd"/>
      <w:r w:rsidRPr="001023F8">
        <w:rPr>
          <w:rFonts w:ascii="Times New Roman" w:hAnsi="Times New Roman" w:cs="Times New Roman"/>
          <w:sz w:val="24"/>
          <w:szCs w:val="24"/>
        </w:rPr>
        <w:t xml:space="preserve">.  22 – 24:  arrivo di Barnaba, esortazione e successo. </w:t>
      </w:r>
      <w:proofErr w:type="spellStart"/>
      <w:r w:rsidRPr="001023F8">
        <w:rPr>
          <w:rFonts w:ascii="Times New Roman" w:hAnsi="Times New Roman" w:cs="Times New Roman"/>
          <w:sz w:val="24"/>
          <w:szCs w:val="24"/>
        </w:rPr>
        <w:t>vv</w:t>
      </w:r>
      <w:proofErr w:type="spellEnd"/>
      <w:r w:rsidRPr="001023F8">
        <w:rPr>
          <w:rFonts w:ascii="Times New Roman" w:hAnsi="Times New Roman" w:cs="Times New Roman"/>
          <w:sz w:val="24"/>
          <w:szCs w:val="24"/>
        </w:rPr>
        <w:t>. 25 – 26 arrivo di Saulo insegnamento e successo. Appendice (v. 26d): nasce la definizione di cristiani.</w:t>
      </w:r>
    </w:p>
    <w:p w:rsidR="003D2C8B"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 </w:t>
      </w:r>
    </w:p>
    <w:p w:rsidR="003D2C8B" w:rsidRPr="001023F8" w:rsidRDefault="003D2C8B" w:rsidP="003D2C8B">
      <w:pPr>
        <w:jc w:val="both"/>
        <w:rPr>
          <w:rFonts w:ascii="Times New Roman" w:hAnsi="Times New Roman" w:cs="Times New Roman"/>
          <w:sz w:val="24"/>
          <w:szCs w:val="24"/>
        </w:rPr>
      </w:pP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5.6</w:t>
      </w:r>
      <w:r w:rsidRPr="001023F8">
        <w:rPr>
          <w:rFonts w:ascii="Times New Roman" w:hAnsi="Times New Roman" w:cs="Times New Roman"/>
          <w:sz w:val="24"/>
          <w:szCs w:val="24"/>
        </w:rPr>
        <w:t>. 1 LA PRIMA MISSIONE DI ANONIMI DISCEPOLI: PERICOLOSO DILETTANTISMO?</w:t>
      </w:r>
    </w:p>
    <w:p w:rsidR="003D2C8B" w:rsidRPr="001023F8" w:rsidRDefault="003D2C8B" w:rsidP="003D2C8B">
      <w:pPr>
        <w:jc w:val="both"/>
        <w:rPr>
          <w:rFonts w:ascii="Times New Roman" w:hAnsi="Times New Roman" w:cs="Times New Roman"/>
          <w:sz w:val="24"/>
          <w:szCs w:val="24"/>
        </w:rPr>
      </w:pPr>
      <w:proofErr w:type="spellStart"/>
      <w:r w:rsidRPr="001023F8">
        <w:rPr>
          <w:rFonts w:ascii="Times New Roman" w:hAnsi="Times New Roman" w:cs="Times New Roman"/>
          <w:sz w:val="24"/>
          <w:szCs w:val="24"/>
        </w:rPr>
        <w:t>vv</w:t>
      </w:r>
      <w:proofErr w:type="spellEnd"/>
      <w:r w:rsidRPr="001023F8">
        <w:rPr>
          <w:rFonts w:ascii="Times New Roman" w:hAnsi="Times New Roman" w:cs="Times New Roman"/>
          <w:sz w:val="24"/>
          <w:szCs w:val="24"/>
        </w:rPr>
        <w:t xml:space="preserve">. 19 – 21 si riprende con le stesse parole il breve sommario della missione in Samaria e lungo la costa palestinese per riferire che ora la Parola viene proclamata in Fenicia a Cipro e perfino ad Antiochia, la metropoli situata sul fiume </w:t>
      </w:r>
      <w:proofErr w:type="spellStart"/>
      <w:r w:rsidRPr="001023F8">
        <w:rPr>
          <w:rFonts w:ascii="Times New Roman" w:hAnsi="Times New Roman" w:cs="Times New Roman"/>
          <w:sz w:val="24"/>
          <w:szCs w:val="24"/>
        </w:rPr>
        <w:t>Oronte</w:t>
      </w:r>
      <w:proofErr w:type="spellEnd"/>
      <w:r w:rsidRPr="001023F8">
        <w:rPr>
          <w:rFonts w:ascii="Times New Roman" w:hAnsi="Times New Roman" w:cs="Times New Roman"/>
          <w:sz w:val="24"/>
          <w:szCs w:val="24"/>
        </w:rPr>
        <w:t xml:space="preserve">, a 35 Km dal mare, nell’attuale Turchia poco lontana dalla frontiera con la Siria. La diffusione del Vangelo continua senza ostacoli, anzi ribaltando paradossalmente gli ostacoli e le persecuzioni incontrate in nuove occasioni di annuncio, sempre più lontano. A questo punto Luca si preoccupa di chiarire che l’annuncio della Parola era riservato unicamente ai Giudei, come già era avvenuto per la Chiesa di Gerusalemme. Questa breve annotazione prepara la svolta (v. 20) alcuni giudei provenienti da Cipro e da Cirene, che erano parte del gruppo dei giudei cacciati da Gerusalemme, incominciano a predicare ai greci, ossia ai pagani, che “Gesù è il Signore”. Si tratta di una breve formula “kerigmatica” in uso nella Chiesa pagano cristiana di lingua greca (cfr. </w:t>
      </w:r>
      <w:proofErr w:type="spellStart"/>
      <w:r w:rsidRPr="001023F8">
        <w:rPr>
          <w:rFonts w:ascii="Times New Roman" w:hAnsi="Times New Roman" w:cs="Times New Roman"/>
          <w:sz w:val="24"/>
          <w:szCs w:val="24"/>
        </w:rPr>
        <w:t>Rm</w:t>
      </w:r>
      <w:proofErr w:type="spellEnd"/>
      <w:r w:rsidRPr="001023F8">
        <w:rPr>
          <w:rFonts w:ascii="Times New Roman" w:hAnsi="Times New Roman" w:cs="Times New Roman"/>
          <w:sz w:val="24"/>
          <w:szCs w:val="24"/>
        </w:rPr>
        <w:t xml:space="preserve"> 10, 9) e che indica la sovranità di Gesù risorto su tutta la storia e atteso per la fine dei tempi.</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Il successo di questa impresa spontanea è attribuito dal narratore all’azione della mano del Signore, qui da intendersi come riferimento consueto a Dio (</w:t>
      </w:r>
      <w:proofErr w:type="spellStart"/>
      <w:r w:rsidRPr="001023F8">
        <w:rPr>
          <w:rFonts w:ascii="Times New Roman" w:hAnsi="Times New Roman" w:cs="Times New Roman"/>
          <w:sz w:val="24"/>
          <w:szCs w:val="24"/>
        </w:rPr>
        <w:t>cfr.Ez</w:t>
      </w:r>
      <w:proofErr w:type="spellEnd"/>
      <w:r w:rsidRPr="001023F8">
        <w:rPr>
          <w:rFonts w:ascii="Times New Roman" w:hAnsi="Times New Roman" w:cs="Times New Roman"/>
          <w:sz w:val="24"/>
          <w:szCs w:val="24"/>
        </w:rPr>
        <w:t xml:space="preserve"> 40, 1; Lc 1, 66). Tuttavia lo stesso termine “Signore” viene usato nella stessa frase per indicare colui al quale i pagani credono e si convertono, ossia Cristo. È evidente allora che qui l’azione provvidenziale di Dio è </w:t>
      </w:r>
      <w:proofErr w:type="spellStart"/>
      <w:r w:rsidRPr="001023F8">
        <w:rPr>
          <w:rFonts w:ascii="Times New Roman" w:hAnsi="Times New Roman" w:cs="Times New Roman"/>
          <w:sz w:val="24"/>
          <w:szCs w:val="24"/>
        </w:rPr>
        <w:t>cristologizzata</w:t>
      </w:r>
      <w:proofErr w:type="spellEnd"/>
      <w:r w:rsidRPr="001023F8">
        <w:rPr>
          <w:rFonts w:ascii="Times New Roman" w:hAnsi="Times New Roman" w:cs="Times New Roman"/>
          <w:sz w:val="24"/>
          <w:szCs w:val="24"/>
        </w:rPr>
        <w:t>. È Cristo che opera con la potenza della sua sovranità, dopo la ascensione al Padre, per confermare l’azione spontanea di alcuni discepoli e indicare a tutta la Chiesa un modello di comunicazione del vangelo al passo con i tempi.</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È dunque interessante, in questo modello ecclesiale della Chiesa apostolica, come ci sia una reciprocità tra ministero apostolico e missione spontanea dei discepoli. Pietro era stato il primo ad annunciare il Vangelo ai pagani su impulso dello Spirito (At 10), poi vi è l’iniziativa dei discepoli, che appare in un primo momento quasi scollegata. Tuttavia è l’azione stessa di Dio (lo Spirito nel caso di Pietro e la mano Signore nel caso di discepoli) a garantirne la continuità. Sarà la presenza di Barnaba ad esplicitare questo legame tra apostolicità e missione dei discepoli.</w:t>
      </w: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5.6</w:t>
      </w:r>
      <w:r w:rsidRPr="001023F8">
        <w:rPr>
          <w:rFonts w:ascii="Times New Roman" w:hAnsi="Times New Roman" w:cs="Times New Roman"/>
          <w:sz w:val="24"/>
          <w:szCs w:val="24"/>
        </w:rPr>
        <w:t>.2 BARNABA, AUTORITÀ APOSTOLICA E INSIEME CARISMATICA.</w:t>
      </w:r>
    </w:p>
    <w:p w:rsidR="003D2C8B" w:rsidRPr="001023F8" w:rsidRDefault="003D2C8B" w:rsidP="003D2C8B">
      <w:pPr>
        <w:jc w:val="both"/>
        <w:rPr>
          <w:rFonts w:ascii="Times New Roman" w:hAnsi="Times New Roman" w:cs="Times New Roman"/>
          <w:sz w:val="24"/>
          <w:szCs w:val="24"/>
        </w:rPr>
      </w:pPr>
      <w:proofErr w:type="spellStart"/>
      <w:r w:rsidRPr="001023F8">
        <w:rPr>
          <w:rFonts w:ascii="Times New Roman" w:hAnsi="Times New Roman" w:cs="Times New Roman"/>
          <w:sz w:val="24"/>
          <w:szCs w:val="24"/>
        </w:rPr>
        <w:t>vv</w:t>
      </w:r>
      <w:proofErr w:type="spellEnd"/>
      <w:r w:rsidRPr="001023F8">
        <w:rPr>
          <w:rFonts w:ascii="Times New Roman" w:hAnsi="Times New Roman" w:cs="Times New Roman"/>
          <w:sz w:val="24"/>
          <w:szCs w:val="24"/>
        </w:rPr>
        <w:t xml:space="preserve">. 22 – 24 Così come in 8, 14, avendo saputo dell’evangelizzazione in Samaria, gli apostoli avevano inviato Pietro e Giovanni, qui la Chiesa di Gerusalemme invia Barnaba ad Antiochia. Egli giunge e vede la grazia di Dio, che è una conferma del favore divino per questa missione (cfr. At 14, 3). D’altra parte Barnaba è descritto come uomo pieno di fede e di Spirito Santo, dotato dunque delle lenti giuste per poter osservare l’agire di Dio nella comunità antiochena. Altri due verbi descrivono la sua azione pastorale: “si rallegrò” e “esortava”. La gioia accompagna sempre la presenza della grazia di Dio (cfr. </w:t>
      </w:r>
      <w:proofErr w:type="spellStart"/>
      <w:r w:rsidRPr="001023F8">
        <w:rPr>
          <w:rFonts w:ascii="Times New Roman" w:hAnsi="Times New Roman" w:cs="Times New Roman"/>
          <w:sz w:val="24"/>
          <w:szCs w:val="24"/>
        </w:rPr>
        <w:t>charis</w:t>
      </w:r>
      <w:proofErr w:type="spellEnd"/>
      <w:r w:rsidRPr="001023F8">
        <w:rPr>
          <w:rFonts w:ascii="Times New Roman" w:hAnsi="Times New Roman" w:cs="Times New Roman"/>
          <w:sz w:val="24"/>
          <w:szCs w:val="24"/>
        </w:rPr>
        <w:t>/</w:t>
      </w:r>
      <w:proofErr w:type="spellStart"/>
      <w:r w:rsidRPr="001023F8">
        <w:rPr>
          <w:rFonts w:ascii="Times New Roman" w:hAnsi="Times New Roman" w:cs="Times New Roman"/>
          <w:sz w:val="24"/>
          <w:szCs w:val="24"/>
        </w:rPr>
        <w:t>chairo</w:t>
      </w:r>
      <w:proofErr w:type="spellEnd"/>
      <w:r w:rsidRPr="001023F8">
        <w:rPr>
          <w:rFonts w:ascii="Times New Roman" w:hAnsi="Times New Roman" w:cs="Times New Roman"/>
          <w:sz w:val="24"/>
          <w:szCs w:val="24"/>
        </w:rPr>
        <w:t xml:space="preserve">), ed è un segno dell’adesione di fede della comunità o di una singola persona (cfr. At 8, 8. 39). Barnaba sa abbandonarsi alla gioia della fede nel contemplare i frutti di una missione a cui egli non ha dato inizio in prima persona, di cui non è né il “padre” né il riferimento insostituibile. Egli in prima istanza non arriva ad Antiochia per imporre una sua “visione” o per lasciare una qualche “impronta” personale a questa Chiesa, ma semplicemente per osservare la grazia di Dio, rallegrarsi e infine esortare. Con questo termine si allude alla funzione di annuncio della Parola non in chiave di prima evangelizzazione, ma di </w:t>
      </w:r>
      <w:r w:rsidRPr="001023F8">
        <w:rPr>
          <w:rFonts w:ascii="Times New Roman" w:hAnsi="Times New Roman" w:cs="Times New Roman"/>
          <w:sz w:val="24"/>
          <w:szCs w:val="24"/>
        </w:rPr>
        <w:lastRenderedPageBreak/>
        <w:t>approfondimento didattico e insieme “profetico” del mistero cristiano. Barnaba, figlio dell’esortazione (At 4, 36), e profeta (cfr. At 13, 1)  è chiamato ad approfondire la fondazione di questa comunità sulla pietra angolare di Cristo, facendole percorrere un cammino di “mistagogia”, per approfondire il mistero di quella Parola che gli antiocheni avevano già accolto. Questa azione di Barnaba porta con se una ulteriore propulsione missionaria della comunità, e nuovi considerevoli ingressi nella comunità (v. 24).</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La comunione resa possibile dal ministero di Barnaba tra la Chiesa madre di Gerusalemme e la neonata Chiesa di Antiochia, fondata sul discernimento dell’azione dello Spirito nelle iniziative spontanee dei discepoli, sulla promozione e sull’esortazione è come un moltiplicatore della potenzialità di questa comunità. Essa lungi dall’esaurire la propria attività all’esterno, appagata dai suoi risultati, con la guida di Barnaba si abbandona sempre più alla potenza comunicativa del Vangelo. È  interessante la figura di Barnaba. Egli, chiamato a rappresentare le istanze degli apostoli nella Chiesa di Antiochia, si mostra “profeta e dottore”, in grado di esortare ed insegnare. Egli partecipa del dono dello Spirito di cui gode questa comunità e si pone a servizio di esso perché la comunità possa essere sempre più consapevole dell’azione e della volontà di Dio in essa. Emerge un profilo ecclesiale dell’apostolo che mette in discussione le nostre tradizionali distinzioni tra “carisma” e “istituzione”.</w:t>
      </w: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5. 6</w:t>
      </w:r>
      <w:r w:rsidRPr="001023F8">
        <w:rPr>
          <w:rFonts w:ascii="Times New Roman" w:hAnsi="Times New Roman" w:cs="Times New Roman"/>
          <w:sz w:val="24"/>
          <w:szCs w:val="24"/>
        </w:rPr>
        <w:t>. 3 BARNABA E PAOLO MODELLI DI “PASTORALE INTEGRATA”</w:t>
      </w:r>
    </w:p>
    <w:p w:rsidR="003D2C8B" w:rsidRPr="001023F8" w:rsidRDefault="003D2C8B" w:rsidP="003D2C8B">
      <w:pPr>
        <w:jc w:val="both"/>
        <w:rPr>
          <w:rFonts w:ascii="Times New Roman" w:hAnsi="Times New Roman" w:cs="Times New Roman"/>
          <w:sz w:val="24"/>
          <w:szCs w:val="24"/>
        </w:rPr>
      </w:pPr>
      <w:proofErr w:type="spellStart"/>
      <w:r w:rsidRPr="001023F8">
        <w:rPr>
          <w:rFonts w:ascii="Times New Roman" w:hAnsi="Times New Roman" w:cs="Times New Roman"/>
          <w:sz w:val="24"/>
          <w:szCs w:val="24"/>
        </w:rPr>
        <w:t>vv</w:t>
      </w:r>
      <w:proofErr w:type="spellEnd"/>
      <w:r w:rsidRPr="001023F8">
        <w:rPr>
          <w:rFonts w:ascii="Times New Roman" w:hAnsi="Times New Roman" w:cs="Times New Roman"/>
          <w:sz w:val="24"/>
          <w:szCs w:val="24"/>
        </w:rPr>
        <w:t xml:space="preserve">. 25 – 26. Sospesa in 9, 30 la narrazione riguardante Paolo riprende qui il filo, grazia all’attività mediatrice di Barnaba. Egli lo trova a Tarso di </w:t>
      </w:r>
      <w:proofErr w:type="spellStart"/>
      <w:r w:rsidRPr="001023F8">
        <w:rPr>
          <w:rFonts w:ascii="Times New Roman" w:hAnsi="Times New Roman" w:cs="Times New Roman"/>
          <w:sz w:val="24"/>
          <w:szCs w:val="24"/>
        </w:rPr>
        <w:t>Cilicia</w:t>
      </w:r>
      <w:proofErr w:type="spellEnd"/>
      <w:r w:rsidRPr="001023F8">
        <w:rPr>
          <w:rFonts w:ascii="Times New Roman" w:hAnsi="Times New Roman" w:cs="Times New Roman"/>
          <w:sz w:val="24"/>
          <w:szCs w:val="24"/>
        </w:rPr>
        <w:t>, la sua città natale e lo conduce ad Antiochia. Anche qui bisogna rendere a Barnaba l’onore della sua apertura di mente, di cuore  e della sua genialità spirituale. Perché andare a chiamare un uomo come Saulo, che  a Gerusalemme aveva fortemente rischiato la vita? In 9, 26 era stato lo stesso Barnaba a presentarlo agli apostoli, che invece lo evitavano perché ne avevano paura. Anche qui Barnaba, da vero profeta, sa cogliere l’enorme potenzialità del carisma spirituale di Paolo e al contempo intuisce la possibilità di metterlo a servizio per la Chiesa di Antiochia, chiesa ricca di carismi e soprattutto di differenze radicali tra cristiani provenienti dal giudaismo e cristiani provenienti dall’ellenismo. In un tale laboratorio di fede e missione c’era bisogno di uno che fosse adeguatamente fondato sulla Scrittura, per comunicare ai greci, che non conoscevano questo patrimonio profetico, il compimento della Parola di Dio in Cristo.  C’era bisogno di un “maestro” riconosciuto, in grado di “insegnare” insieme a Barnaba alla Chiesa la verità delle Scritture compiuta in Cristo, anche ai pagani, per completare il disegno formativo della “mistagogia” precedentemente iniziato con l’esortazione da parte di Barnaba.</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Barnaba fornisce un modello  innovativo per una spiritualità presbiterale. Egli non solo evita il rischio di considerarsi unico punto di riferimento della Chiesa di Antiochia e garante dell’azione dello Spirito. Non solo non azzera tutto ciò che era nato prima che lui arrivasse  per ricostruire da capo secondo la sua volontà. Egli “si rallegra” di ciò che vede e che non è dovuto a lui, si pone a servizio dell’azione dello Spirito che è già operante e individua gli ulteriori bisogni della comunità, discernendo la volontà di Dio. A tali bisogni non pensa di dover rispondere solo lui, ma è in grado di attivare collaborazioni con altri intuendo quali specifici carismi potevano essere necessari in ordine ai bisogni della comunità.  Senza gelosie si mette a lavorare con Saulo di Tarso, dopo averlo cercato e trovato nella sua città natale.</w:t>
      </w:r>
    </w:p>
    <w:p w:rsidR="003D2C8B"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lastRenderedPageBreak/>
        <w:t> </w:t>
      </w:r>
    </w:p>
    <w:p w:rsidR="003D2C8B" w:rsidRPr="001023F8" w:rsidRDefault="003D2C8B" w:rsidP="003D2C8B">
      <w:pPr>
        <w:jc w:val="both"/>
        <w:rPr>
          <w:rFonts w:ascii="Times New Roman" w:hAnsi="Times New Roman" w:cs="Times New Roman"/>
          <w:sz w:val="24"/>
          <w:szCs w:val="24"/>
        </w:rPr>
      </w:pP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5. 6</w:t>
      </w:r>
      <w:r w:rsidRPr="001023F8">
        <w:rPr>
          <w:rFonts w:ascii="Times New Roman" w:hAnsi="Times New Roman" w:cs="Times New Roman"/>
          <w:sz w:val="24"/>
          <w:szCs w:val="24"/>
        </w:rPr>
        <w:t>. 4 KOINONÌA E MISSIONE UNIVERSALE</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 xml:space="preserve">11, 27 – 30 Un gruppo di profeti viaggia da Gerusalemme fino ad Antiochia. Come abbiamo già visto per Barnaba si tratta di un carisma che è dono di Dio e non è frutto dell’imposizione delle mani da parte dell’autorità e la sua parola può avere molti frutti, tra cui incoraggiare nelle prove, consolare, predire.  Il legame tra Gerusalemme e Antiochia non è caratterizzato solo da una responsabilità ministeriale da parte della Chiesa madre, ma anche da un flusso di carismi, che arricchiscono Antiochia. La risposta della giovanissima Chiesa di fronte alla profezia di </w:t>
      </w:r>
      <w:proofErr w:type="spellStart"/>
      <w:r w:rsidRPr="001023F8">
        <w:rPr>
          <w:rFonts w:ascii="Times New Roman" w:hAnsi="Times New Roman" w:cs="Times New Roman"/>
          <w:sz w:val="24"/>
          <w:szCs w:val="24"/>
        </w:rPr>
        <w:t>Agabo</w:t>
      </w:r>
      <w:proofErr w:type="spellEnd"/>
      <w:r w:rsidRPr="001023F8">
        <w:rPr>
          <w:rFonts w:ascii="Times New Roman" w:hAnsi="Times New Roman" w:cs="Times New Roman"/>
          <w:sz w:val="24"/>
          <w:szCs w:val="24"/>
        </w:rPr>
        <w:t xml:space="preserve"> è la manifestazione concreta di questa </w:t>
      </w:r>
      <w:proofErr w:type="spellStart"/>
      <w:r w:rsidRPr="001023F8">
        <w:rPr>
          <w:rFonts w:ascii="Times New Roman" w:hAnsi="Times New Roman" w:cs="Times New Roman"/>
          <w:sz w:val="24"/>
          <w:szCs w:val="24"/>
        </w:rPr>
        <w:t>koinonìa</w:t>
      </w:r>
      <w:proofErr w:type="spellEnd"/>
      <w:r w:rsidRPr="001023F8">
        <w:rPr>
          <w:rFonts w:ascii="Times New Roman" w:hAnsi="Times New Roman" w:cs="Times New Roman"/>
          <w:sz w:val="24"/>
          <w:szCs w:val="24"/>
        </w:rPr>
        <w:t xml:space="preserve">, comunione ecclesiale, che si è stabilita con Gerusalemme. La colletta, di cui Paolo si farà portatore ben oltre i bisogni di questa carestia, è vista già qui come il dono materiale delle Chiese della gentilità in risposta al dono della fede ricevuto dalla Chiesa giudeo – cristiana di Gerusalemme (cfr. </w:t>
      </w:r>
      <w:proofErr w:type="spellStart"/>
      <w:r w:rsidRPr="001023F8">
        <w:rPr>
          <w:rFonts w:ascii="Times New Roman" w:hAnsi="Times New Roman" w:cs="Times New Roman"/>
          <w:sz w:val="24"/>
          <w:szCs w:val="24"/>
        </w:rPr>
        <w:t>Rm</w:t>
      </w:r>
      <w:proofErr w:type="spellEnd"/>
      <w:r w:rsidRPr="001023F8">
        <w:rPr>
          <w:rFonts w:ascii="Times New Roman" w:hAnsi="Times New Roman" w:cs="Times New Roman"/>
          <w:sz w:val="24"/>
          <w:szCs w:val="24"/>
        </w:rPr>
        <w:t xml:space="preserve"> 15, 25 – 27).  Tale colletta viene consegnata agli “anziani” di Gerusalemme, prima interessante indicazione di un incarico ministeriale, distinto da quello degli apostoli, a capo della Chiesa madre.</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 xml:space="preserve">La comunione ecclesiale è un fatto insieme concreto e spirituale, che mostra il disegno di Dio in atto (giudei e pagani insieme, che fanno della loro differenza un dono reciproco).  L’elezione del popolo di Dio è per i gentili e l’ingresso dei gentili porta a Gerusalemme le ricchezze delle nazioni (cfr. </w:t>
      </w:r>
      <w:proofErr w:type="spellStart"/>
      <w:r w:rsidRPr="001023F8">
        <w:rPr>
          <w:rFonts w:ascii="Times New Roman" w:hAnsi="Times New Roman" w:cs="Times New Roman"/>
          <w:sz w:val="24"/>
          <w:szCs w:val="24"/>
        </w:rPr>
        <w:t>Is</w:t>
      </w:r>
      <w:proofErr w:type="spellEnd"/>
      <w:r w:rsidRPr="001023F8">
        <w:rPr>
          <w:rFonts w:ascii="Times New Roman" w:hAnsi="Times New Roman" w:cs="Times New Roman"/>
          <w:sz w:val="24"/>
          <w:szCs w:val="24"/>
        </w:rPr>
        <w:t xml:space="preserve"> 60, 1 – 5). Tale </w:t>
      </w:r>
      <w:proofErr w:type="spellStart"/>
      <w:r w:rsidRPr="001023F8">
        <w:rPr>
          <w:rFonts w:ascii="Times New Roman" w:hAnsi="Times New Roman" w:cs="Times New Roman"/>
          <w:sz w:val="24"/>
          <w:szCs w:val="24"/>
        </w:rPr>
        <w:t>koinonìa</w:t>
      </w:r>
      <w:proofErr w:type="spellEnd"/>
      <w:r w:rsidRPr="001023F8">
        <w:rPr>
          <w:rFonts w:ascii="Times New Roman" w:hAnsi="Times New Roman" w:cs="Times New Roman"/>
          <w:sz w:val="24"/>
          <w:szCs w:val="24"/>
        </w:rPr>
        <w:t xml:space="preserve"> è insieme anche apertura universale della Chiesa, a tutti i tempi e tutti i luoghi. La Chiesa di Antiochia si mostrerà pronta a donare due dei suoi più autorevoli membri, Paolo e Barnaba, per una missione che oltrepassa i suoi confini territoriali.</w:t>
      </w:r>
    </w:p>
    <w:p w:rsidR="003D2C8B" w:rsidRPr="001023F8" w:rsidRDefault="003D2C8B" w:rsidP="003D2C8B">
      <w:pPr>
        <w:jc w:val="both"/>
        <w:rPr>
          <w:rFonts w:ascii="Times New Roman" w:hAnsi="Times New Roman" w:cs="Times New Roman"/>
          <w:sz w:val="24"/>
          <w:szCs w:val="24"/>
        </w:rPr>
      </w:pPr>
      <w:r>
        <w:rPr>
          <w:rFonts w:ascii="Times New Roman" w:hAnsi="Times New Roman" w:cs="Times New Roman"/>
          <w:sz w:val="24"/>
          <w:szCs w:val="24"/>
        </w:rPr>
        <w:t>5. 6</w:t>
      </w:r>
      <w:r w:rsidRPr="001023F8">
        <w:rPr>
          <w:rFonts w:ascii="Times New Roman" w:hAnsi="Times New Roman" w:cs="Times New Roman"/>
          <w:sz w:val="24"/>
          <w:szCs w:val="24"/>
        </w:rPr>
        <w:t>. 5 PRESBITERIO, LUOGO DI PROFETI E DOTTORI</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12, 24 – 25. 13, 1 – 3. Dopo aver narrato l’arresto di Pietro ad opera di Erode e la sua miracolosa liberazione e la morte di Erode, Luca, con un brevissimo sommario accenna al fatto che la parola di Dio cresceva e si diffondeva, senza che nessun potere umano potesse ormai ostacolarla. In questo contesto di persecuzione e di crescita della Parola Paolo e Barnaba avevano compiuto il loro servizio (</w:t>
      </w:r>
      <w:proofErr w:type="spellStart"/>
      <w:r w:rsidRPr="001023F8">
        <w:rPr>
          <w:rFonts w:ascii="Times New Roman" w:hAnsi="Times New Roman" w:cs="Times New Roman"/>
          <w:sz w:val="24"/>
          <w:szCs w:val="24"/>
        </w:rPr>
        <w:t>diakonìa</w:t>
      </w:r>
      <w:proofErr w:type="spellEnd"/>
      <w:r w:rsidRPr="001023F8">
        <w:rPr>
          <w:rFonts w:ascii="Times New Roman" w:hAnsi="Times New Roman" w:cs="Times New Roman"/>
          <w:sz w:val="24"/>
          <w:szCs w:val="24"/>
        </w:rPr>
        <w:t>) verso la Chiesa di Gerusalemme e, avendo preso con se Giovanni Marco, tornarono ad Antiochia.  Questa comunità viene nuovamente descritta da Luca come retta da profeti e dottori. Preghiera collettiva e digiuno sono la modalità con cui la Chiesa si pone in comunicazione con Dio per fare la Sua volontà ed è in questo contesto che interviene nuovamente lo Spirito Santo, che designa Paolo e Barnaba per l’opera alla quale sono stati chiamati e che il lettore scoprirà essere la grande opera di evangelizzazione delle genti.</w:t>
      </w:r>
    </w:p>
    <w:p w:rsidR="003D2C8B" w:rsidRPr="001023F8" w:rsidRDefault="003D2C8B" w:rsidP="003D2C8B">
      <w:pPr>
        <w:jc w:val="both"/>
        <w:rPr>
          <w:rFonts w:ascii="Times New Roman" w:hAnsi="Times New Roman" w:cs="Times New Roman"/>
          <w:sz w:val="24"/>
          <w:szCs w:val="24"/>
        </w:rPr>
      </w:pPr>
      <w:r w:rsidRPr="001023F8">
        <w:rPr>
          <w:rFonts w:ascii="Times New Roman" w:hAnsi="Times New Roman" w:cs="Times New Roman"/>
          <w:sz w:val="24"/>
          <w:szCs w:val="24"/>
        </w:rPr>
        <w:t>La conoscenza e la profezia sono due polarità entrambe necessarie e spesso compresenti in ciascuno di questi leader della comunità antiochena. Infatti una conoscenza senza profezia manca di orecchi per ascoltare le indicazioni concrete e spesso improvvise dello Spirito. Ma anche una profezia senza conoscenza è pericolosa, perché rischia di perdere di vista il disegno complessivo della missione ecclesiale connessa alla profondità del mistero di Cristo attestato dalle Scritture. Profondità di visione e capacità di intuire i passi concreti da fare e le persone da promuovere: questo è mix che la polarità di profeti e dottori può assicurare ad una Chiesa in cammino.</w:t>
      </w:r>
    </w:p>
    <w:p w:rsidR="003D2C8B" w:rsidRDefault="003D2C8B" w:rsidP="003D2C8B">
      <w:pPr>
        <w:jc w:val="both"/>
        <w:rPr>
          <w:rFonts w:ascii="Times New Roman" w:hAnsi="Times New Roman" w:cs="Times New Roman"/>
          <w:sz w:val="24"/>
          <w:szCs w:val="24"/>
        </w:rPr>
      </w:pPr>
    </w:p>
    <w:p w:rsidR="003D2C8B" w:rsidRPr="00D36DEB" w:rsidRDefault="003D2C8B" w:rsidP="003D2C8B">
      <w:pPr>
        <w:jc w:val="both"/>
        <w:rPr>
          <w:rFonts w:ascii="Times New Roman" w:hAnsi="Times New Roman" w:cs="Times New Roman"/>
          <w:sz w:val="24"/>
          <w:szCs w:val="24"/>
        </w:rPr>
      </w:pPr>
    </w:p>
    <w:p w:rsidR="003D2C8B" w:rsidRPr="002C5EEA" w:rsidRDefault="003D2C8B" w:rsidP="003D2C8B">
      <w:pPr>
        <w:jc w:val="both"/>
        <w:rPr>
          <w:rFonts w:ascii="Times New Roman" w:hAnsi="Times New Roman" w:cs="Times New Roman"/>
          <w:sz w:val="24"/>
          <w:szCs w:val="24"/>
        </w:rPr>
      </w:pPr>
      <w:r w:rsidRPr="002C5EEA">
        <w:rPr>
          <w:rFonts w:ascii="Times New Roman" w:hAnsi="Times New Roman" w:cs="Times New Roman"/>
          <w:sz w:val="24"/>
          <w:szCs w:val="24"/>
        </w:rPr>
        <w:t>5. 7 EXCURSUS METODOLOGICO.</w:t>
      </w:r>
    </w:p>
    <w:p w:rsidR="003D2C8B" w:rsidRPr="002C5EEA" w:rsidRDefault="003D2C8B" w:rsidP="003D2C8B">
      <w:pPr>
        <w:jc w:val="both"/>
        <w:rPr>
          <w:rFonts w:ascii="Times New Roman" w:hAnsi="Times New Roman" w:cs="Times New Roman"/>
          <w:szCs w:val="24"/>
        </w:rPr>
      </w:pPr>
      <w:r w:rsidRPr="002C5EEA">
        <w:rPr>
          <w:rFonts w:ascii="Times New Roman" w:hAnsi="Times New Roman" w:cs="Times New Roman"/>
          <w:sz w:val="24"/>
          <w:szCs w:val="24"/>
        </w:rPr>
        <w:t>5.7.1 LA QUESTIONE SINOTTICA</w:t>
      </w:r>
      <w:r w:rsidRPr="002C5EEA">
        <w:rPr>
          <w:rFonts w:ascii="Times New Roman" w:hAnsi="Times New Roman" w:cs="Times New Roman"/>
          <w:szCs w:val="24"/>
        </w:rPr>
        <w:t xml:space="preserve"> </w:t>
      </w:r>
    </w:p>
    <w:p w:rsidR="003D2C8B" w:rsidRPr="000F28FE"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La questione sinottica concerne il tentativo  di individuare l’interrelazione e le reciproche dipendenze tra i tre vangeli sinottici. L’ottanta per cento del materiale di Mc si trova in Mt  e il 65 in Lc.</w:t>
      </w:r>
      <w:r>
        <w:rPr>
          <w:rFonts w:ascii="Times New Roman" w:hAnsi="Times New Roman" w:cs="Times New Roman"/>
          <w:sz w:val="24"/>
          <w:szCs w:val="24"/>
        </w:rPr>
        <w:t xml:space="preserve"> </w:t>
      </w:r>
      <w:r w:rsidRPr="000F28FE">
        <w:rPr>
          <w:rFonts w:ascii="Times New Roman" w:hAnsi="Times New Roman" w:cs="Times New Roman"/>
          <w:sz w:val="24"/>
          <w:szCs w:val="24"/>
        </w:rPr>
        <w:t>Il materiale di Mc che si trova in ambedue è chiamato triplice tradizione. Il materiale non marciano che Mt e Lc hanno in comune</w:t>
      </w:r>
      <w:r>
        <w:rPr>
          <w:rFonts w:ascii="Times New Roman" w:hAnsi="Times New Roman" w:cs="Times New Roman"/>
          <w:sz w:val="24"/>
          <w:szCs w:val="24"/>
        </w:rPr>
        <w:t xml:space="preserve"> è chiamato duplice tradizione.</w:t>
      </w:r>
    </w:p>
    <w:p w:rsidR="003D2C8B" w:rsidRPr="000F28FE"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 xml:space="preserve">Si ipotizza che esista un vangelo prima dei sinottici. Già nel xviii sec Lessing ipotizzò l’esistenza di un protovangelo in Aramaico, soluzione poi sviluppata da </w:t>
      </w:r>
      <w:proofErr w:type="spellStart"/>
      <w:r w:rsidRPr="000F28FE">
        <w:rPr>
          <w:rFonts w:ascii="Times New Roman" w:hAnsi="Times New Roman" w:cs="Times New Roman"/>
          <w:sz w:val="24"/>
          <w:szCs w:val="24"/>
        </w:rPr>
        <w:t>Eichorn</w:t>
      </w:r>
      <w:proofErr w:type="spellEnd"/>
      <w:r w:rsidRPr="000F28FE">
        <w:rPr>
          <w:rFonts w:ascii="Times New Roman" w:hAnsi="Times New Roman" w:cs="Times New Roman"/>
          <w:sz w:val="24"/>
          <w:szCs w:val="24"/>
        </w:rPr>
        <w:t xml:space="preserve"> e negli ultimi anni da </w:t>
      </w:r>
      <w:proofErr w:type="spellStart"/>
      <w:r w:rsidRPr="000F28FE">
        <w:rPr>
          <w:rFonts w:ascii="Times New Roman" w:hAnsi="Times New Roman" w:cs="Times New Roman"/>
          <w:sz w:val="24"/>
          <w:szCs w:val="24"/>
        </w:rPr>
        <w:t>Boismard</w:t>
      </w:r>
      <w:proofErr w:type="spellEnd"/>
      <w:r w:rsidRPr="000F28FE">
        <w:rPr>
          <w:rFonts w:ascii="Times New Roman" w:hAnsi="Times New Roman" w:cs="Times New Roman"/>
          <w:sz w:val="24"/>
          <w:szCs w:val="24"/>
        </w:rPr>
        <w:t>, che individua quattro fonti documentarie utilizzate dagli evangelisti sinottici.</w:t>
      </w:r>
    </w:p>
    <w:p w:rsidR="003D2C8B" w:rsidRPr="000F28FE"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 xml:space="preserve">Un’altra soluzione ipotizza che Matteo fu il primo Vangelo e Luca usò Matteo. Questa ipotesi fu anzitutto di Agostino, ma fin dall’antichità Matteo è stato considerato il primo vangelo. Secondo essa Matteo fu scritto per primo, Marco austeramente abbreviò Matteo e poi vennero Luca e Giovanni ognuno dei quali attinse ai suoi predecessori. In epoca moderna </w:t>
      </w:r>
      <w:proofErr w:type="spellStart"/>
      <w:r w:rsidRPr="000F28FE">
        <w:rPr>
          <w:rFonts w:ascii="Times New Roman" w:hAnsi="Times New Roman" w:cs="Times New Roman"/>
          <w:sz w:val="24"/>
          <w:szCs w:val="24"/>
        </w:rPr>
        <w:t>Griesbach</w:t>
      </w:r>
      <w:proofErr w:type="spellEnd"/>
      <w:r w:rsidRPr="000F28FE">
        <w:rPr>
          <w:rFonts w:ascii="Times New Roman" w:hAnsi="Times New Roman" w:cs="Times New Roman"/>
          <w:sz w:val="24"/>
          <w:szCs w:val="24"/>
        </w:rPr>
        <w:t xml:space="preserve"> (1789) riprende tale ipotesi sostenendo che Marco fu scritto per ultimo come riassunto che riporta prevalentemente materiale sul quale concordano Matteo e Luca. Inoltre ci sono brani, come Mt 26, 68 e par. in cui Luca e Matteo sono in accordo contro Mc, così che sembra che Luca usi Mt. Tuttavia vi sarebbe da spiegare l’omissione da parte di Mc di tutta la duplice tradizione</w:t>
      </w:r>
      <w:r>
        <w:rPr>
          <w:rFonts w:ascii="Times New Roman" w:hAnsi="Times New Roman" w:cs="Times New Roman"/>
          <w:sz w:val="24"/>
          <w:szCs w:val="24"/>
        </w:rPr>
        <w:t>,</w:t>
      </w:r>
      <w:r w:rsidRPr="000F28FE">
        <w:rPr>
          <w:rFonts w:ascii="Times New Roman" w:hAnsi="Times New Roman" w:cs="Times New Roman"/>
          <w:sz w:val="24"/>
          <w:szCs w:val="24"/>
        </w:rPr>
        <w:t xml:space="preserve"> nonché i diversi racconti in cui Lc e Mt sono palesemente contraddittori (cfr. racconto dell’infanzia)</w:t>
      </w:r>
      <w:r>
        <w:rPr>
          <w:rFonts w:ascii="Times New Roman" w:hAnsi="Times New Roman" w:cs="Times New Roman"/>
          <w:sz w:val="24"/>
          <w:szCs w:val="24"/>
        </w:rPr>
        <w:t>,</w:t>
      </w:r>
      <w:r w:rsidRPr="000F28FE">
        <w:rPr>
          <w:rFonts w:ascii="Times New Roman" w:hAnsi="Times New Roman" w:cs="Times New Roman"/>
          <w:sz w:val="24"/>
          <w:szCs w:val="24"/>
        </w:rPr>
        <w:t xml:space="preserve"> nonché il diverso ordine con cui viene us</w:t>
      </w:r>
      <w:r>
        <w:rPr>
          <w:rFonts w:ascii="Times New Roman" w:hAnsi="Times New Roman" w:cs="Times New Roman"/>
          <w:sz w:val="24"/>
          <w:szCs w:val="24"/>
        </w:rPr>
        <w:t>ato in Mt e Lc il materiale che hanno in comune (Fonte Q)</w:t>
      </w:r>
      <w:r w:rsidRPr="000F28FE">
        <w:rPr>
          <w:rFonts w:ascii="Times New Roman" w:hAnsi="Times New Roman" w:cs="Times New Roman"/>
          <w:sz w:val="24"/>
          <w:szCs w:val="24"/>
        </w:rPr>
        <w:t>.</w:t>
      </w:r>
    </w:p>
    <w:p w:rsidR="003D2C8B" w:rsidRPr="000F28FE"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Altra soluzione, quella generalmente più accettata, è quella delle due fonti. In questa soluzione si ipotizza che Matteo e Luca dipendono da Mc  e scrivono indipendentemente l’uno dall’altro. Ciò che essi hanno in comune e che non dipende da Mc ossia la duplice tradizione, viene spiegato ipotizzando</w:t>
      </w:r>
      <w:r>
        <w:rPr>
          <w:rFonts w:ascii="Times New Roman" w:hAnsi="Times New Roman" w:cs="Times New Roman"/>
          <w:sz w:val="24"/>
          <w:szCs w:val="24"/>
        </w:rPr>
        <w:t xml:space="preserve"> la fonte</w:t>
      </w:r>
      <w:r w:rsidRPr="000F28FE">
        <w:rPr>
          <w:rFonts w:ascii="Times New Roman" w:hAnsi="Times New Roman" w:cs="Times New Roman"/>
          <w:sz w:val="24"/>
          <w:szCs w:val="24"/>
        </w:rPr>
        <w:t xml:space="preserve"> Q.  Essa spiega bene come mai Mt e Lc concordano con Mc nell’ordine e nella formulazione e consente ragionevoli congetture sul perché se ne distanzino. Un argomento contrario potrebbe essere quello degli accordi minori, ossia dove Mt e Lc concordano contro Mc (cfr. Mt 26 , 68, che spesso viene spiegato ammettendo una forte presenza del</w:t>
      </w:r>
      <w:r>
        <w:rPr>
          <w:rFonts w:ascii="Times New Roman" w:hAnsi="Times New Roman" w:cs="Times New Roman"/>
          <w:sz w:val="24"/>
          <w:szCs w:val="24"/>
        </w:rPr>
        <w:t>l</w:t>
      </w:r>
      <w:r w:rsidRPr="000F28FE">
        <w:rPr>
          <w:rFonts w:ascii="Times New Roman" w:hAnsi="Times New Roman" w:cs="Times New Roman"/>
          <w:sz w:val="24"/>
          <w:szCs w:val="24"/>
        </w:rPr>
        <w:t>a comune tradizione orale).</w:t>
      </w:r>
    </w:p>
    <w:p w:rsidR="003D2C8B" w:rsidRDefault="003D2C8B" w:rsidP="003D2C8B">
      <w:pPr>
        <w:jc w:val="both"/>
        <w:rPr>
          <w:rFonts w:ascii="Times New Roman" w:hAnsi="Times New Roman" w:cs="Times New Roman"/>
          <w:sz w:val="24"/>
          <w:szCs w:val="24"/>
        </w:rPr>
      </w:pPr>
      <w:r w:rsidRPr="000F28FE">
        <w:rPr>
          <w:rFonts w:ascii="Times New Roman" w:hAnsi="Times New Roman" w:cs="Times New Roman"/>
          <w:sz w:val="24"/>
          <w:szCs w:val="24"/>
        </w:rPr>
        <w:t>L</w:t>
      </w:r>
      <w:r>
        <w:rPr>
          <w:rFonts w:ascii="Times New Roman" w:hAnsi="Times New Roman" w:cs="Times New Roman"/>
          <w:sz w:val="24"/>
          <w:szCs w:val="24"/>
        </w:rPr>
        <w:t>u</w:t>
      </w:r>
      <w:r w:rsidRPr="000F28FE">
        <w:rPr>
          <w:rFonts w:ascii="Times New Roman" w:hAnsi="Times New Roman" w:cs="Times New Roman"/>
          <w:sz w:val="24"/>
          <w:szCs w:val="24"/>
        </w:rPr>
        <w:t>c</w:t>
      </w:r>
      <w:r>
        <w:rPr>
          <w:rFonts w:ascii="Times New Roman" w:hAnsi="Times New Roman" w:cs="Times New Roman"/>
          <w:sz w:val="24"/>
          <w:szCs w:val="24"/>
        </w:rPr>
        <w:t>a</w:t>
      </w:r>
      <w:r w:rsidRPr="000F28FE">
        <w:rPr>
          <w:rFonts w:ascii="Times New Roman" w:hAnsi="Times New Roman" w:cs="Times New Roman"/>
          <w:sz w:val="24"/>
          <w:szCs w:val="24"/>
        </w:rPr>
        <w:t xml:space="preserve"> accoglie da Mc un 35</w:t>
      </w:r>
      <w:r>
        <w:rPr>
          <w:rFonts w:ascii="Times New Roman" w:hAnsi="Times New Roman" w:cs="Times New Roman"/>
          <w:sz w:val="24"/>
          <w:szCs w:val="24"/>
        </w:rPr>
        <w:t xml:space="preserve"> per cento del materiale</w:t>
      </w:r>
      <w:r w:rsidRPr="000F28FE">
        <w:rPr>
          <w:rFonts w:ascii="Times New Roman" w:hAnsi="Times New Roman" w:cs="Times New Roman"/>
          <w:sz w:val="24"/>
          <w:szCs w:val="24"/>
        </w:rPr>
        <w:t>, omettendo alcune parti ( Mc 6, 45 – 8, 26; 9, 41 – 10, 12), con alcune modifiche, con già in Matteo, per mettere in miglior luce i discepoli, ed evitando espressioni irriguardose nei confronti di Gesù. Accentua il distacco dai beni elimina le traslitterazioni dall’aramaico. Diversamente da Matteo l’evangelista Luca conserva il materiale di Q in due sequenze in 6, 20 – 8, 3 e in 9, 51 – 18, 14 e utilizza certamente del materiale proprio, come per alcune parabole</w:t>
      </w:r>
      <w:r>
        <w:rPr>
          <w:rFonts w:ascii="Times New Roman" w:hAnsi="Times New Roman" w:cs="Times New Roman"/>
          <w:sz w:val="24"/>
          <w:szCs w:val="24"/>
        </w:rPr>
        <w:t xml:space="preserve"> come quella del padre misericordioso</w:t>
      </w:r>
      <w:r w:rsidRPr="000F28FE">
        <w:rPr>
          <w:rFonts w:ascii="Times New Roman" w:hAnsi="Times New Roman" w:cs="Times New Roman"/>
          <w:sz w:val="24"/>
          <w:szCs w:val="24"/>
        </w:rPr>
        <w:t xml:space="preserve"> e del buon samaritano. Luca ha fatto ben più che raccogliere materiale disparato, ha organizzato un</w:t>
      </w:r>
      <w:r w:rsidR="006D4028">
        <w:rPr>
          <w:rFonts w:ascii="Times New Roman" w:hAnsi="Times New Roman" w:cs="Times New Roman"/>
          <w:sz w:val="24"/>
          <w:szCs w:val="24"/>
        </w:rPr>
        <w:t>’</w:t>
      </w:r>
      <w:r w:rsidRPr="000F28FE">
        <w:rPr>
          <w:rFonts w:ascii="Times New Roman" w:hAnsi="Times New Roman" w:cs="Times New Roman"/>
          <w:sz w:val="24"/>
          <w:szCs w:val="24"/>
        </w:rPr>
        <w:t xml:space="preserve">opera </w:t>
      </w:r>
      <w:proofErr w:type="spellStart"/>
      <w:r w:rsidRPr="000F28FE">
        <w:rPr>
          <w:rFonts w:ascii="Times New Roman" w:hAnsi="Times New Roman" w:cs="Times New Roman"/>
          <w:sz w:val="24"/>
          <w:szCs w:val="24"/>
        </w:rPr>
        <w:t>unitaria,con</w:t>
      </w:r>
      <w:proofErr w:type="spellEnd"/>
      <w:r w:rsidRPr="000F28FE">
        <w:rPr>
          <w:rFonts w:ascii="Times New Roman" w:hAnsi="Times New Roman" w:cs="Times New Roman"/>
          <w:sz w:val="24"/>
          <w:szCs w:val="24"/>
        </w:rPr>
        <w:t xml:space="preserve"> uno stile controllato e costante e con un progetto teologico unitario.</w:t>
      </w:r>
    </w:p>
    <w:p w:rsidR="006D4028" w:rsidRDefault="006D4028" w:rsidP="003D2C8B">
      <w:pPr>
        <w:jc w:val="both"/>
        <w:rPr>
          <w:rFonts w:ascii="Times New Roman" w:hAnsi="Times New Roman" w:cs="Times New Roman"/>
          <w:sz w:val="24"/>
          <w:szCs w:val="24"/>
        </w:rPr>
      </w:pPr>
    </w:p>
    <w:p w:rsidR="006D4028" w:rsidRDefault="006D4028"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lastRenderedPageBreak/>
        <w:t>5. 7. 2 IL METODO REDAZIONALE</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Senza entrare troppo nei dettagli, basta qui descrivere in modo semplice i presupposti e le operazioni di tale metodo. Il presupposto fondamentale è che l’evangelista utilizzi delle fonti, più o meno organizzate o scritte, e che egli ha in comune con altri evangelisti (ad esempio Lc utilizza Mc e Q come fonti, che ha in comune con Mt). Anche se non è possibile determinare nel dettaglio la natura e l’estensione di tale materiale tradizionale, è sufficiente ipotizzare che esso esiste ed è precedente rispetto all’evangelista. Nel caso di Luca è certamente necessario dare per assodata la teoria delle due fonti.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Le operazioni che il metodo prevede si compiono inizialmente attraverso la sinossi. Solo attraverso di essa è infatti possibile individuare paralleli e differenze tra i sinottici e identificare il materiale tradizionale. </w:t>
      </w:r>
    </w:p>
    <w:p w:rsidR="003D2C8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Dopo aver identificato ciò che proviene dalla tradizione, il passo successivo è quello di chiedersi come l’evangelista lo modifica e quali sono le sue inserzioni di carattere redazionale. Per far questo è necessario mostrare le espressioni che sono proprie dell’evangelista, il suo stile letterario e teologico e comprendere come egli interviene concretamente. </w:t>
      </w:r>
    </w:p>
    <w:p w:rsidR="003D2C8B" w:rsidRPr="00D36DEB" w:rsidRDefault="003D2C8B" w:rsidP="003D2C8B">
      <w:pPr>
        <w:jc w:val="both"/>
        <w:rPr>
          <w:rFonts w:ascii="Times New Roman" w:hAnsi="Times New Roman" w:cs="Times New Roman"/>
          <w:sz w:val="24"/>
          <w:szCs w:val="24"/>
        </w:rPr>
      </w:pPr>
      <w:r>
        <w:rPr>
          <w:rFonts w:ascii="Times New Roman" w:hAnsi="Times New Roman" w:cs="Times New Roman"/>
          <w:sz w:val="24"/>
          <w:szCs w:val="24"/>
        </w:rPr>
        <w:t xml:space="preserve">Il terzo passo è sviluppare le motivazioni narrative e teologiche degli interventi redazionali dell’evangelista. Solo quando questo passo è affrontato, si può dire che la proposta esegetica sia compiuta. </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8"/>
          <w:szCs w:val="24"/>
        </w:rPr>
      </w:pPr>
      <w:r w:rsidRPr="00634B03">
        <w:rPr>
          <w:rFonts w:ascii="Times New Roman" w:hAnsi="Times New Roman" w:cs="Times New Roman"/>
          <w:sz w:val="28"/>
          <w:szCs w:val="24"/>
        </w:rPr>
        <w:t>6. “GIUSTIFICARE” DIO</w:t>
      </w:r>
    </w:p>
    <w:p w:rsidR="003D2C8B" w:rsidRPr="00634B03" w:rsidRDefault="003D2C8B" w:rsidP="003D2C8B">
      <w:pPr>
        <w:jc w:val="both"/>
        <w:rPr>
          <w:rFonts w:ascii="Times New Roman" w:hAnsi="Times New Roman" w:cs="Times New Roman"/>
          <w:i/>
          <w:sz w:val="28"/>
          <w:szCs w:val="24"/>
        </w:rPr>
      </w:pPr>
      <w:r w:rsidRPr="00634B03">
        <w:rPr>
          <w:rFonts w:ascii="Times New Roman" w:hAnsi="Times New Roman" w:cs="Times New Roman"/>
          <w:i/>
          <w:sz w:val="28"/>
          <w:szCs w:val="24"/>
        </w:rPr>
        <w:t>Lc 7, 29 – 30 tra tradizione e redazione</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bCs/>
          <w:sz w:val="24"/>
          <w:szCs w:val="24"/>
        </w:rPr>
      </w:pPr>
      <w:bookmarkStart w:id="0" w:name="_Toc313124105"/>
      <w:bookmarkStart w:id="1" w:name="_Toc313910466"/>
      <w:r w:rsidRPr="00634B03">
        <w:rPr>
          <w:rFonts w:ascii="Times New Roman" w:hAnsi="Times New Roman" w:cs="Times New Roman"/>
          <w:bCs/>
          <w:sz w:val="24"/>
          <w:szCs w:val="24"/>
        </w:rPr>
        <w:t>6. 1 INTRODUZIONE</w:t>
      </w:r>
      <w:bookmarkEnd w:id="0"/>
      <w:bookmarkEnd w:id="1"/>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Nella sezione lucana su Giovanni il Battista (7, 18 – 35), posta all’interno dell’ampia sequenza sul ministero </w:t>
      </w:r>
      <w:proofErr w:type="spellStart"/>
      <w:r w:rsidRPr="00634B03">
        <w:rPr>
          <w:rFonts w:ascii="Times New Roman" w:hAnsi="Times New Roman" w:cs="Times New Roman"/>
          <w:sz w:val="24"/>
          <w:szCs w:val="24"/>
        </w:rPr>
        <w:t>galilaico</w:t>
      </w:r>
      <w:proofErr w:type="spellEnd"/>
      <w:r w:rsidRPr="00634B03">
        <w:rPr>
          <w:rFonts w:ascii="Times New Roman" w:hAnsi="Times New Roman" w:cs="Times New Roman"/>
          <w:sz w:val="24"/>
          <w:szCs w:val="24"/>
        </w:rPr>
        <w:t xml:space="preserve"> di Gesù (cc. 4 – 9), 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29 – 30 interrompono bruscamente la descrizione del ministero del Battista per introdurre una constatazione sui destinatari del suo messaggio, divisi tra coloro che lo accolgono e coloro che lo rifiutano.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Tenendo conto del fatto che lungo tutta la sequenza del ministero pubblico di Gesù in Galilea Luca descrive le opposte reazioni degli interlocutori al suo messaggio, si può già intuire l’importanza narrativa di questi due versetti per Luca, che intende in tal modo collocare l’origine di tali reazioni a Gesù nell’accoglienza o nel rifiuto del ministero del Battista.</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lastRenderedPageBreak/>
        <w:t xml:space="preserve">Ma perché l’evangelista inserisce proprio a questo punto questi due versetti nel suo lavoro redazionale? E perché subito dopo il v. 35 fa seguire una nuova sezione narrativa, con il racconto dell’unzione di Gesù da parte della donna peccatrice in casa del fariseo Simone?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Si può notare che i due personaggi di questo racconto erano già stati introdotti dall’evangelista proprio nei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29 – 30, li dove si parla di pubblicani e peccatori da un lato e di farisei e dottori della legge dall’altro. Si tratta di un caso o di una precisa scelta narrativa?</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A partire da un’analisi degli interventi redazionali nei versetti 29 – 30, con cui Luca rielabora la tradizione a lui pervenuta, si intende approfondire le motivazioni narrative dell’evangelista alla luce del contesto (7, 18 – 50) e offrire qualche chiave interpretativa per comprendere il suo intento teologico e comunicativo in questa sezione del terzo vangelo.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 </w:t>
      </w:r>
    </w:p>
    <w:p w:rsidR="003D2C8B" w:rsidRPr="00634B03" w:rsidRDefault="003D2C8B" w:rsidP="003D2C8B">
      <w:pPr>
        <w:jc w:val="both"/>
        <w:rPr>
          <w:rFonts w:ascii="Times New Roman" w:hAnsi="Times New Roman" w:cs="Times New Roman"/>
          <w:bCs/>
          <w:sz w:val="24"/>
          <w:szCs w:val="24"/>
        </w:rPr>
      </w:pPr>
      <w:bookmarkStart w:id="2" w:name="_Toc313124106"/>
      <w:bookmarkStart w:id="3" w:name="_Toc313910467"/>
      <w:r>
        <w:rPr>
          <w:rFonts w:ascii="Times New Roman" w:hAnsi="Times New Roman" w:cs="Times New Roman"/>
          <w:bCs/>
          <w:sz w:val="24"/>
          <w:szCs w:val="24"/>
        </w:rPr>
        <w:t xml:space="preserve">6. </w:t>
      </w:r>
      <w:r w:rsidRPr="00634B03">
        <w:rPr>
          <w:rFonts w:ascii="Times New Roman" w:hAnsi="Times New Roman" w:cs="Times New Roman"/>
          <w:bCs/>
          <w:sz w:val="24"/>
          <w:szCs w:val="24"/>
        </w:rPr>
        <w:t>2. BREVE INQUADRAMENTO</w:t>
      </w:r>
      <w:bookmarkEnd w:id="2"/>
      <w:bookmarkEnd w:id="3"/>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Si può notare che dal v. 24, a partire dal quale inizia il discorso di Gesù su Giovanni il Battista, fino al v. 28 Luca presenti piccole differenze rispetto a Matteo (cfr. Mt 11, 7 – 11), quasi tutte riconducibili con ogni probabilità a miglioramenti stilistici e letterari della fonte da parte di Luca.</w:t>
      </w:r>
      <w:r w:rsidRPr="00634B03">
        <w:rPr>
          <w:rFonts w:ascii="Times New Roman" w:hAnsi="Times New Roman" w:cs="Times New Roman"/>
          <w:sz w:val="24"/>
          <w:szCs w:val="24"/>
          <w:vertAlign w:val="superscript"/>
        </w:rPr>
        <w:footnoteReference w:id="1"/>
      </w:r>
      <w:r w:rsidRPr="00634B03">
        <w:rPr>
          <w:rFonts w:ascii="Times New Roman" w:hAnsi="Times New Roman" w:cs="Times New Roman"/>
          <w:sz w:val="24"/>
          <w:szCs w:val="24"/>
        </w:rPr>
        <w:t xml:space="preserve">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Invece nei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29 - 30 le differenze sono notevoli. Luca non riporta qui il detto di Gesù sulla legge e i profeti che sono in vigore fino a Giovanni il Battista e sul regno che soffre violenza (cfr. Mt 11, 12 - 13), ma lo presenta più avanti nella sua narrazione (cfr. Lc 16, 16). Inoltre egli tralascia completamente il riferimento all'Elia redivivo applicato a Giovanni il Battista (cfr. Mt 11, 14), che corrisponde piuttosto alla concezione teologica sul ruolo di Giovanni il Battista propria di Matteo e di Marco (cfr. Mc 9, 13).</w:t>
      </w:r>
      <w:r w:rsidRPr="00634B03">
        <w:rPr>
          <w:rFonts w:ascii="Times New Roman" w:hAnsi="Times New Roman" w:cs="Times New Roman"/>
          <w:sz w:val="24"/>
          <w:szCs w:val="24"/>
          <w:vertAlign w:val="superscript"/>
        </w:rPr>
        <w:footnoteReference w:id="2"/>
      </w:r>
      <w:r w:rsidRPr="00634B03">
        <w:rPr>
          <w:rFonts w:ascii="Times New Roman" w:hAnsi="Times New Roman" w:cs="Times New Roman"/>
          <w:sz w:val="24"/>
          <w:szCs w:val="24"/>
        </w:rPr>
        <w:t xml:space="preserve">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Al posto di questi riferimenti nei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29 – 30 Luca offre una valutazione teologica della divisione attuatasi nel popolo di Israele in relazione al battesimo di Giovanni. Da un lato tutto il popolo e i pubblicani hanno ricevuto il battesimo, così da riconoscere la giustizia di Dio, dall'altro i farisei e i dottori della legge hanno rifiutato il battesimo e dunque hanno annullato la volontà di Dio su di loro.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lastRenderedPageBreak/>
        <w:t>L’evangelista sposta volutamente l’attenzione dall’identità di Giovanni il Battista agli effetti del suo ministero nel popolo di Israele, caratterizzati insieme dall’ accoglienza e dal rifiuto del suo messaggio, così da introdurre un nuovo apoftegma di accusa nei confronti di coloro che hanno rifiutato il Battista, prendendolo dalla fonte che egli ha in comune con Matteo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31 - 35).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In tal modo Luca crea una nuova ripresa del discorso di Gesù, articolandolo  in due versanti (24 – 28. 29 – 35) il primo dei quali è centrato su Giovanni il Battista, mentre il secondo sulla reazione degli ascoltatori al suo messaggio.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Da quanto affermato emerge l’importanza dei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29 – 30, perché in essi l’evangelista concentra i suoi interessi e la sua peculiare visione, così da conferire una connotazione precisa anche al contesto.</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Tali versetti presentano un carattere redazionale e ciò viene ammesso da tutti gli interpreti . Viene tuttavia anche comunemente affermato che in essi si trova del materiale preesistente che è stato riformulato dall’evangelista attraverso la sua propria prospettiva letteraria e teologica.</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Qui si cercherà di comprendere quale tradizione Luca riformuli e con quale interesse letterario e teologico. </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bCs/>
          <w:sz w:val="24"/>
          <w:szCs w:val="24"/>
        </w:rPr>
      </w:pPr>
      <w:bookmarkStart w:id="4" w:name="_Toc313124107"/>
      <w:bookmarkStart w:id="5" w:name="_Toc313910468"/>
      <w:r w:rsidRPr="00634B03">
        <w:rPr>
          <w:rFonts w:ascii="Times New Roman" w:hAnsi="Times New Roman" w:cs="Times New Roman"/>
          <w:bCs/>
          <w:sz w:val="24"/>
          <w:szCs w:val="24"/>
        </w:rPr>
        <w:t>6. 3 UN’IPOTESI DIACRONICA</w:t>
      </w:r>
      <w:bookmarkEnd w:id="4"/>
      <w:bookmarkEnd w:id="5"/>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I versetti 29 – 30, malgrado l’originale formulazione lucana, non sono una creazione </w:t>
      </w:r>
      <w:r w:rsidRPr="00634B03">
        <w:rPr>
          <w:rFonts w:ascii="Times New Roman" w:hAnsi="Times New Roman" w:cs="Times New Roman"/>
          <w:i/>
          <w:sz w:val="24"/>
          <w:szCs w:val="24"/>
        </w:rPr>
        <w:t>ex novo</w:t>
      </w:r>
      <w:r w:rsidRPr="00634B03">
        <w:rPr>
          <w:rFonts w:ascii="Times New Roman" w:hAnsi="Times New Roman" w:cs="Times New Roman"/>
          <w:sz w:val="24"/>
          <w:szCs w:val="24"/>
        </w:rPr>
        <w:t xml:space="preserve"> da parte dell’evangelista, ma dipendono da una tradizione preesistente.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Si trova un interessante parallelo in Mt 21, 31b - 32, dove Gesù commenta la parabola dei due figli, esplicitando l'accusa contro la classe sacerdotale del tempio. I pubblicani e le prostitute, credendo a Giovanni, precedono i sacerdoti, che non si sono pentiti e non hanno creduto a Giovanni.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Questo parallelo autorizza a ricostruire qui un </w:t>
      </w:r>
      <w:proofErr w:type="spellStart"/>
      <w:r w:rsidRPr="00634B03">
        <w:rPr>
          <w:rFonts w:ascii="Times New Roman" w:hAnsi="Times New Roman" w:cs="Times New Roman"/>
          <w:sz w:val="24"/>
          <w:szCs w:val="24"/>
        </w:rPr>
        <w:t>loghion</w:t>
      </w:r>
      <w:proofErr w:type="spellEnd"/>
      <w:r w:rsidRPr="00634B03">
        <w:rPr>
          <w:rFonts w:ascii="Times New Roman" w:hAnsi="Times New Roman" w:cs="Times New Roman"/>
          <w:sz w:val="24"/>
          <w:szCs w:val="24"/>
        </w:rPr>
        <w:t xml:space="preserve"> </w:t>
      </w:r>
      <w:proofErr w:type="spellStart"/>
      <w:r w:rsidRPr="00634B03">
        <w:rPr>
          <w:rFonts w:ascii="Times New Roman" w:hAnsi="Times New Roman" w:cs="Times New Roman"/>
          <w:sz w:val="24"/>
          <w:szCs w:val="24"/>
        </w:rPr>
        <w:t>gesuano</w:t>
      </w:r>
      <w:proofErr w:type="spellEnd"/>
      <w:r w:rsidRPr="00634B03">
        <w:rPr>
          <w:rFonts w:ascii="Times New Roman" w:hAnsi="Times New Roman" w:cs="Times New Roman"/>
          <w:sz w:val="24"/>
          <w:szCs w:val="24"/>
        </w:rPr>
        <w:t xml:space="preserve">, che ogni evangelista avrebbe posto nel luogo più confacente al suo percorso letterario e teologico? Se così fosse quale dei due evangelisti, inoltre, conserverebbe la posizione originaria del </w:t>
      </w:r>
      <w:proofErr w:type="spellStart"/>
      <w:r w:rsidRPr="00634B03">
        <w:rPr>
          <w:rFonts w:ascii="Times New Roman" w:hAnsi="Times New Roman" w:cs="Times New Roman"/>
          <w:sz w:val="24"/>
          <w:szCs w:val="24"/>
        </w:rPr>
        <w:t>loghion</w:t>
      </w:r>
      <w:proofErr w:type="spellEnd"/>
      <w:r w:rsidRPr="00634B03">
        <w:rPr>
          <w:rFonts w:ascii="Times New Roman" w:hAnsi="Times New Roman" w:cs="Times New Roman"/>
          <w:sz w:val="24"/>
          <w:szCs w:val="24"/>
        </w:rPr>
        <w:t xml:space="preserve"> nella fonte?</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 Si può osservare anzitutto che nonostante le notevoli differenze nella formulazione, ci sono importanti somiglianze formali e di contenuto tra Mt 21, 31b- 32 e Lc 7, 29 - 30. Esse sono: 1. menzione di Giovanni il battista; 2. Presenza di due gruppi di personaggi, ossia figure di peccatori come i pubblicani da un lato e figure di leadership religiosa dall’altro; 3. Attitudine opposta di questi due gruppi nei confronti di Giovanni;  4. Accoglienza positiva di Giovanni da parte del gruppo dei peccatori e negativa da parte dei capi. Sono proprio tali somiglianze a condurre all’ipotesi di un </w:t>
      </w:r>
      <w:proofErr w:type="spellStart"/>
      <w:r w:rsidRPr="00634B03">
        <w:rPr>
          <w:rFonts w:ascii="Times New Roman" w:hAnsi="Times New Roman" w:cs="Times New Roman"/>
          <w:sz w:val="24"/>
          <w:szCs w:val="24"/>
        </w:rPr>
        <w:t>loghion</w:t>
      </w:r>
      <w:proofErr w:type="spellEnd"/>
      <w:r w:rsidRPr="00634B03">
        <w:rPr>
          <w:rFonts w:ascii="Times New Roman" w:hAnsi="Times New Roman" w:cs="Times New Roman"/>
          <w:sz w:val="24"/>
          <w:szCs w:val="24"/>
        </w:rPr>
        <w:t xml:space="preserve"> tradizionale.</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Infatti dal momento che i due evangelisti riportano indipendentemente una stessa affermazione di Gesù, seppure con formulazioni alquanto diverse, è plausibile che, sulla base del criterio </w:t>
      </w:r>
      <w:r w:rsidRPr="00634B03">
        <w:rPr>
          <w:rFonts w:ascii="Times New Roman" w:hAnsi="Times New Roman" w:cs="Times New Roman"/>
          <w:sz w:val="24"/>
          <w:szCs w:val="24"/>
        </w:rPr>
        <w:lastRenderedPageBreak/>
        <w:t>dell'attestazione molteplice, tale affermazione facesse parte di una tradizione, orale o scritta, che li precedeva</w:t>
      </w:r>
      <w:r w:rsidRPr="00634B03">
        <w:rPr>
          <w:rFonts w:ascii="Times New Roman" w:hAnsi="Times New Roman" w:cs="Times New Roman"/>
          <w:sz w:val="24"/>
          <w:szCs w:val="24"/>
          <w:vertAlign w:val="superscript"/>
        </w:rPr>
        <w:footnoteReference w:id="3"/>
      </w:r>
      <w:r w:rsidRPr="00634B03">
        <w:rPr>
          <w:rFonts w:ascii="Times New Roman" w:hAnsi="Times New Roman" w:cs="Times New Roman"/>
          <w:sz w:val="24"/>
          <w:szCs w:val="24"/>
        </w:rPr>
        <w:t xml:space="preserve">, cioè fosse un </w:t>
      </w:r>
      <w:proofErr w:type="spellStart"/>
      <w:r w:rsidRPr="00634B03">
        <w:rPr>
          <w:rFonts w:ascii="Times New Roman" w:hAnsi="Times New Roman" w:cs="Times New Roman"/>
          <w:sz w:val="24"/>
          <w:szCs w:val="24"/>
        </w:rPr>
        <w:t>loghion</w:t>
      </w:r>
      <w:proofErr w:type="spellEnd"/>
      <w:r w:rsidRPr="00634B03">
        <w:rPr>
          <w:rFonts w:ascii="Times New Roman" w:hAnsi="Times New Roman" w:cs="Times New Roman"/>
          <w:sz w:val="24"/>
          <w:szCs w:val="24"/>
        </w:rPr>
        <w:t xml:space="preserve"> di Gesù.</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Molto più difficile è rispondere alla seconda domanda, ossia quale potrebbe essere la collocazione originaria di questo </w:t>
      </w:r>
      <w:proofErr w:type="spellStart"/>
      <w:r w:rsidRPr="00634B03">
        <w:rPr>
          <w:rFonts w:ascii="Times New Roman" w:hAnsi="Times New Roman" w:cs="Times New Roman"/>
          <w:sz w:val="24"/>
          <w:szCs w:val="24"/>
        </w:rPr>
        <w:t>loghion</w:t>
      </w:r>
      <w:proofErr w:type="spellEnd"/>
      <w:r w:rsidRPr="00634B03">
        <w:rPr>
          <w:rFonts w:ascii="Times New Roman" w:hAnsi="Times New Roman" w:cs="Times New Roman"/>
          <w:sz w:val="24"/>
          <w:szCs w:val="24"/>
        </w:rPr>
        <w:t xml:space="preserve"> “vagante”. Esso era collocato in un più ampio apoftegma </w:t>
      </w:r>
      <w:proofErr w:type="spellStart"/>
      <w:r w:rsidRPr="00634B03">
        <w:rPr>
          <w:rFonts w:ascii="Times New Roman" w:hAnsi="Times New Roman" w:cs="Times New Roman"/>
          <w:sz w:val="24"/>
          <w:szCs w:val="24"/>
        </w:rPr>
        <w:t>gesuano</w:t>
      </w:r>
      <w:proofErr w:type="spellEnd"/>
      <w:r w:rsidRPr="00634B03">
        <w:rPr>
          <w:rFonts w:ascii="Times New Roman" w:hAnsi="Times New Roman" w:cs="Times New Roman"/>
          <w:sz w:val="24"/>
          <w:szCs w:val="24"/>
        </w:rPr>
        <w:t>, magari in connessione con la parabola dei due figli, come in Mt 21, 28 – 32?</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A motivo dell'abbondante rimaneggiamento redazionale, sia da parte di Matteo</w:t>
      </w:r>
      <w:r w:rsidRPr="00634B03">
        <w:rPr>
          <w:rFonts w:ascii="Times New Roman" w:hAnsi="Times New Roman" w:cs="Times New Roman"/>
          <w:sz w:val="24"/>
          <w:szCs w:val="24"/>
          <w:vertAlign w:val="superscript"/>
        </w:rPr>
        <w:footnoteReference w:id="4"/>
      </w:r>
      <w:r w:rsidRPr="00634B03">
        <w:rPr>
          <w:rFonts w:ascii="Times New Roman" w:hAnsi="Times New Roman" w:cs="Times New Roman"/>
          <w:sz w:val="24"/>
          <w:szCs w:val="24"/>
        </w:rPr>
        <w:t xml:space="preserve"> che da parte di Luca, è impossibile stabilire la formulazione originaria di questo </w:t>
      </w:r>
      <w:proofErr w:type="spellStart"/>
      <w:r w:rsidRPr="00634B03">
        <w:rPr>
          <w:rFonts w:ascii="Times New Roman" w:hAnsi="Times New Roman" w:cs="Times New Roman"/>
          <w:sz w:val="24"/>
          <w:szCs w:val="24"/>
        </w:rPr>
        <w:t>loghion</w:t>
      </w:r>
      <w:proofErr w:type="spellEnd"/>
      <w:r w:rsidRPr="00634B03">
        <w:rPr>
          <w:rFonts w:ascii="Times New Roman" w:hAnsi="Times New Roman" w:cs="Times New Roman"/>
          <w:sz w:val="24"/>
          <w:szCs w:val="24"/>
        </w:rPr>
        <w:t xml:space="preserve"> e ricostruire con esattezza il contesto in cui era inserito nella fonte.</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Tuttavia alcune osservazioni di natura formale e contenutistica possono fondare adeguatamente un’ipotesi su come tale </w:t>
      </w:r>
      <w:proofErr w:type="spellStart"/>
      <w:r w:rsidRPr="00634B03">
        <w:rPr>
          <w:rFonts w:ascii="Times New Roman" w:hAnsi="Times New Roman" w:cs="Times New Roman"/>
          <w:sz w:val="24"/>
          <w:szCs w:val="24"/>
        </w:rPr>
        <w:t>loghion</w:t>
      </w:r>
      <w:proofErr w:type="spellEnd"/>
      <w:r w:rsidRPr="00634B03">
        <w:rPr>
          <w:rFonts w:ascii="Times New Roman" w:hAnsi="Times New Roman" w:cs="Times New Roman"/>
          <w:sz w:val="24"/>
          <w:szCs w:val="24"/>
        </w:rPr>
        <w:t xml:space="preserve"> sia stato conservato e trasmesso dalla tradizione.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Anzitutto si possono notare le somiglianze tra i due contesti in cui tale parola è inserita in Luca e in Matteo. In entrambi i contesti è presente un’accusa da parte di Gesù contro i capi del popolo</w:t>
      </w:r>
      <w:r w:rsidRPr="00634B03">
        <w:rPr>
          <w:rFonts w:ascii="Times New Roman" w:hAnsi="Times New Roman" w:cs="Times New Roman"/>
          <w:sz w:val="24"/>
          <w:szCs w:val="24"/>
          <w:vertAlign w:val="superscript"/>
        </w:rPr>
        <w:footnoteReference w:id="5"/>
      </w:r>
      <w:r w:rsidRPr="00634B03">
        <w:rPr>
          <w:rFonts w:ascii="Times New Roman" w:hAnsi="Times New Roman" w:cs="Times New Roman"/>
          <w:sz w:val="24"/>
          <w:szCs w:val="24"/>
        </w:rPr>
        <w:t>, nella quale sono presenti motivi sapienziali e parabolici e c’è in entrambi i motivi un riferimento ai figli (cfr. Mt 21, 28- 30 e Lc 7, 31 - 32. 35). Infine tale accusa è in entrambi i casi relazionata al battesimo di Giovanni: in Matteo, infatti, essa scaturisce da una disputa sul battesimo di Giovanni (cfr. 21, 24 -27) e in Luca il confronto tra pubblicani e popolo da una parte e farisei e dottori della legge dall’altra è formulato in relazione al battesimo di Giovanni (cfr. 7, 29 – 30). Inoltre il confronto fra capi e pubblicani / prostitute può essere considerato come un espediente retorico di accusa, proprio della tradizione profetica in Israele, per manifestare al popolo il suo peccato.</w:t>
      </w:r>
      <w:r w:rsidRPr="00634B03">
        <w:rPr>
          <w:rFonts w:ascii="Times New Roman" w:hAnsi="Times New Roman" w:cs="Times New Roman"/>
          <w:sz w:val="24"/>
          <w:szCs w:val="24"/>
          <w:vertAlign w:val="superscript"/>
        </w:rPr>
        <w:footnoteReference w:id="6"/>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È dunque possibile che l’ambiente vitale di questo </w:t>
      </w:r>
      <w:proofErr w:type="spellStart"/>
      <w:r w:rsidRPr="00634B03">
        <w:rPr>
          <w:rFonts w:ascii="Times New Roman" w:hAnsi="Times New Roman" w:cs="Times New Roman"/>
          <w:sz w:val="24"/>
          <w:szCs w:val="24"/>
        </w:rPr>
        <w:t>loghion</w:t>
      </w:r>
      <w:proofErr w:type="spellEnd"/>
      <w:r w:rsidRPr="00634B03">
        <w:rPr>
          <w:rFonts w:ascii="Times New Roman" w:hAnsi="Times New Roman" w:cs="Times New Roman"/>
          <w:sz w:val="24"/>
          <w:szCs w:val="24"/>
        </w:rPr>
        <w:t xml:space="preserve"> fosse quello di una accusa di Gesù nei confronti dei capi, in stile profetico e con probabili riferimenti a Giovanni Battista.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In ogni caso quello che si può ora affermare con sicurezza è che Luca rielabora un </w:t>
      </w:r>
      <w:proofErr w:type="spellStart"/>
      <w:r w:rsidRPr="00634B03">
        <w:rPr>
          <w:rFonts w:ascii="Times New Roman" w:hAnsi="Times New Roman" w:cs="Times New Roman"/>
          <w:sz w:val="24"/>
          <w:szCs w:val="24"/>
        </w:rPr>
        <w:t>loghion</w:t>
      </w:r>
      <w:proofErr w:type="spellEnd"/>
      <w:r w:rsidRPr="00634B03">
        <w:rPr>
          <w:rFonts w:ascii="Times New Roman" w:hAnsi="Times New Roman" w:cs="Times New Roman"/>
          <w:sz w:val="24"/>
          <w:szCs w:val="24"/>
        </w:rPr>
        <w:t xml:space="preserve"> che gli proviene dalla tradizione, introducendo un contrasto tra farisei e scribi da una parte e popolo e pubblicani dall’altra, contrasto che non era presente nella sua fonte principale, per spostare il destinatario dell’accusa da tutto il popolo ai capi e preparare in tal modo quello che racconterà nell’episodio dell’unzione di Gesù da parte della donna peccatrice.</w:t>
      </w:r>
    </w:p>
    <w:p w:rsidR="003D2C8B" w:rsidRPr="00634B03" w:rsidRDefault="003D2C8B" w:rsidP="003D2C8B">
      <w:pPr>
        <w:jc w:val="both"/>
        <w:rPr>
          <w:rFonts w:ascii="Times New Roman" w:hAnsi="Times New Roman" w:cs="Times New Roman"/>
          <w:b/>
          <w:bCs/>
          <w:sz w:val="24"/>
          <w:szCs w:val="24"/>
        </w:rPr>
      </w:pPr>
      <w:bookmarkStart w:id="6" w:name="_Toc313124108"/>
    </w:p>
    <w:p w:rsidR="003D2C8B" w:rsidRPr="00634B03" w:rsidRDefault="003D2C8B" w:rsidP="003D2C8B">
      <w:pPr>
        <w:jc w:val="both"/>
        <w:rPr>
          <w:rFonts w:ascii="Times New Roman" w:hAnsi="Times New Roman" w:cs="Times New Roman"/>
          <w:bCs/>
          <w:sz w:val="24"/>
          <w:szCs w:val="24"/>
        </w:rPr>
      </w:pPr>
      <w:bookmarkStart w:id="7" w:name="_Toc313910469"/>
      <w:r w:rsidRPr="00634B03">
        <w:rPr>
          <w:rFonts w:ascii="Times New Roman" w:hAnsi="Times New Roman" w:cs="Times New Roman"/>
          <w:bCs/>
          <w:sz w:val="24"/>
          <w:szCs w:val="24"/>
        </w:rPr>
        <w:t>6. 4 I VERSETTI 29 – 30 TRA REDAZIONE E TRADIZIONE.</w:t>
      </w:r>
      <w:bookmarkEnd w:id="6"/>
      <w:bookmarkEnd w:id="7"/>
    </w:p>
    <w:p w:rsidR="003D2C8B" w:rsidRPr="00634B03" w:rsidRDefault="003D2C8B" w:rsidP="003D2C8B">
      <w:pPr>
        <w:jc w:val="both"/>
        <w:rPr>
          <w:rFonts w:ascii="Times New Roman" w:hAnsi="Times New Roman" w:cs="Times New Roman"/>
          <w:bCs/>
          <w:iCs/>
          <w:sz w:val="24"/>
          <w:szCs w:val="24"/>
        </w:rPr>
      </w:pPr>
      <w:bookmarkStart w:id="8" w:name="_Toc313124109"/>
      <w:bookmarkStart w:id="9" w:name="_Toc313910470"/>
      <w:r w:rsidRPr="00634B03">
        <w:rPr>
          <w:rFonts w:ascii="Times New Roman" w:hAnsi="Times New Roman" w:cs="Times New Roman"/>
          <w:bCs/>
          <w:iCs/>
          <w:sz w:val="24"/>
          <w:szCs w:val="24"/>
        </w:rPr>
        <w:t>6.4.1 REDAZIONALITÀ</w:t>
      </w:r>
      <w:bookmarkEnd w:id="8"/>
      <w:bookmarkEnd w:id="9"/>
      <w:r w:rsidRPr="00634B03">
        <w:rPr>
          <w:rFonts w:ascii="Times New Roman" w:hAnsi="Times New Roman" w:cs="Times New Roman"/>
          <w:bCs/>
          <w:iCs/>
          <w:sz w:val="24"/>
          <w:szCs w:val="24"/>
        </w:rPr>
        <w:t xml:space="preserve">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lastRenderedPageBreak/>
        <w:t>Il carattere redazionale dei versetti in esame può essere evidenziato dalle seguenti espressioni.:</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1.</w:t>
      </w:r>
      <w:r w:rsidRPr="00634B03">
        <w:rPr>
          <w:rFonts w:ascii="Times New Roman" w:hAnsi="Times New Roman" w:cs="Times New Roman"/>
          <w:sz w:val="24"/>
          <w:szCs w:val="24"/>
          <w:lang w:val="el-GR"/>
        </w:rPr>
        <w:t>π</w:t>
      </w:r>
      <w:r w:rsidRPr="00634B03">
        <w:rPr>
          <w:rFonts w:ascii="Times New Roman" w:hAnsi="Times New Roman" w:cs="Times New Roman"/>
          <w:sz w:val="24"/>
          <w:szCs w:val="24"/>
        </w:rPr>
        <w:t>ᾶ</w:t>
      </w:r>
      <w:r w:rsidRPr="00634B03">
        <w:rPr>
          <w:rFonts w:ascii="Times New Roman" w:hAnsi="Times New Roman" w:cs="Times New Roman"/>
          <w:sz w:val="24"/>
          <w:szCs w:val="24"/>
          <w:lang w:val="el-GR"/>
        </w:rPr>
        <w:t xml:space="preserve">ς </w:t>
      </w:r>
      <w:r w:rsidRPr="00634B03">
        <w:rPr>
          <w:rFonts w:ascii="Times New Roman" w:hAnsi="Times New Roman" w:cs="Times New Roman"/>
          <w:sz w:val="24"/>
          <w:szCs w:val="24"/>
        </w:rPr>
        <w:t>ὁ</w:t>
      </w:r>
      <w:r w:rsidRPr="00634B03">
        <w:rPr>
          <w:rFonts w:ascii="Times New Roman" w:hAnsi="Times New Roman" w:cs="Times New Roman"/>
          <w:sz w:val="24"/>
          <w:szCs w:val="24"/>
          <w:lang w:val="el-GR"/>
        </w:rPr>
        <w:t xml:space="preserve"> λα</w:t>
      </w:r>
      <w:r w:rsidRPr="00634B03">
        <w:rPr>
          <w:rFonts w:ascii="Times New Roman" w:hAnsi="Times New Roman" w:cs="Times New Roman"/>
          <w:sz w:val="24"/>
          <w:szCs w:val="24"/>
        </w:rPr>
        <w:t>ὸ</w:t>
      </w:r>
      <w:r w:rsidRPr="00634B03">
        <w:rPr>
          <w:rFonts w:ascii="Times New Roman" w:hAnsi="Times New Roman" w:cs="Times New Roman"/>
          <w:sz w:val="24"/>
          <w:szCs w:val="24"/>
          <w:lang w:val="el-GR"/>
        </w:rPr>
        <w:t xml:space="preserve">ς </w:t>
      </w:r>
      <w:r w:rsidRPr="00634B03">
        <w:rPr>
          <w:rFonts w:ascii="Times New Roman" w:hAnsi="Times New Roman" w:cs="Times New Roman"/>
          <w:sz w:val="24"/>
          <w:szCs w:val="24"/>
        </w:rPr>
        <w:t xml:space="preserve">(tutto il popolo) (v. 29); . 2. </w:t>
      </w:r>
      <w:r w:rsidRPr="00634B03">
        <w:rPr>
          <w:rFonts w:ascii="Times New Roman" w:hAnsi="Times New Roman" w:cs="Times New Roman"/>
          <w:sz w:val="24"/>
          <w:szCs w:val="24"/>
          <w:lang w:val="el-GR"/>
        </w:rPr>
        <w:t>βαπτισθ</w:t>
      </w:r>
      <w:r w:rsidRPr="00634B03">
        <w:rPr>
          <w:rFonts w:ascii="Times New Roman" w:hAnsi="Times New Roman" w:cs="Times New Roman"/>
          <w:sz w:val="24"/>
          <w:szCs w:val="24"/>
        </w:rPr>
        <w:t>έ</w:t>
      </w:r>
      <w:r w:rsidRPr="00634B03">
        <w:rPr>
          <w:rFonts w:ascii="Times New Roman" w:hAnsi="Times New Roman" w:cs="Times New Roman"/>
          <w:sz w:val="24"/>
          <w:szCs w:val="24"/>
          <w:lang w:val="el-GR"/>
        </w:rPr>
        <w:t>ντες τ</w:t>
      </w:r>
      <w:r w:rsidRPr="00634B03">
        <w:rPr>
          <w:rFonts w:ascii="Times New Roman" w:hAnsi="Times New Roman" w:cs="Times New Roman"/>
          <w:sz w:val="24"/>
          <w:szCs w:val="24"/>
        </w:rPr>
        <w:t>ὸ</w:t>
      </w:r>
      <w:r w:rsidRPr="00634B03">
        <w:rPr>
          <w:rFonts w:ascii="Times New Roman" w:hAnsi="Times New Roman" w:cs="Times New Roman"/>
          <w:sz w:val="24"/>
          <w:szCs w:val="24"/>
          <w:lang w:val="el-GR"/>
        </w:rPr>
        <w:t xml:space="preserve"> β</w:t>
      </w:r>
      <w:r w:rsidRPr="00634B03">
        <w:rPr>
          <w:rFonts w:ascii="Times New Roman" w:hAnsi="Times New Roman" w:cs="Times New Roman"/>
          <w:sz w:val="24"/>
          <w:szCs w:val="24"/>
        </w:rPr>
        <w:t>ά</w:t>
      </w:r>
      <w:r w:rsidRPr="00634B03">
        <w:rPr>
          <w:rFonts w:ascii="Times New Roman" w:hAnsi="Times New Roman" w:cs="Times New Roman"/>
          <w:sz w:val="24"/>
          <w:szCs w:val="24"/>
          <w:lang w:val="el-GR"/>
        </w:rPr>
        <w:t>πτισμα</w:t>
      </w:r>
      <w:r w:rsidRPr="00634B03">
        <w:rPr>
          <w:rFonts w:ascii="Times New Roman" w:hAnsi="Times New Roman" w:cs="Times New Roman"/>
          <w:sz w:val="24"/>
          <w:szCs w:val="24"/>
        </w:rPr>
        <w:t xml:space="preserve"> (ricevere il battesimo)</w:t>
      </w:r>
      <w:r w:rsidRPr="00634B03">
        <w:rPr>
          <w:rFonts w:ascii="Times New Roman" w:hAnsi="Times New Roman" w:cs="Times New Roman"/>
          <w:sz w:val="24"/>
          <w:szCs w:val="24"/>
          <w:lang w:val="el-GR"/>
        </w:rPr>
        <w:t xml:space="preserve"> </w:t>
      </w:r>
      <w:r w:rsidRPr="00634B03">
        <w:rPr>
          <w:rFonts w:ascii="Times New Roman" w:hAnsi="Times New Roman" w:cs="Times New Roman"/>
          <w:sz w:val="24"/>
          <w:szCs w:val="24"/>
        </w:rPr>
        <w:t xml:space="preserve">/ </w:t>
      </w:r>
      <w:r w:rsidRPr="00634B03">
        <w:rPr>
          <w:rFonts w:ascii="Times New Roman" w:hAnsi="Times New Roman" w:cs="Times New Roman"/>
          <w:sz w:val="24"/>
          <w:szCs w:val="24"/>
          <w:lang w:val="el-GR"/>
        </w:rPr>
        <w:t>βάπτ</w:t>
      </w:r>
      <w:r w:rsidRPr="00634B03">
        <w:rPr>
          <w:rFonts w:ascii="Times New Roman" w:hAnsi="Times New Roman" w:cs="Times New Roman"/>
          <w:sz w:val="24"/>
          <w:szCs w:val="24"/>
        </w:rPr>
        <w:t>ι</w:t>
      </w:r>
      <w:r w:rsidRPr="00634B03">
        <w:rPr>
          <w:rFonts w:ascii="Times New Roman" w:hAnsi="Times New Roman" w:cs="Times New Roman"/>
          <w:sz w:val="24"/>
          <w:szCs w:val="24"/>
          <w:lang w:val="el-GR"/>
        </w:rPr>
        <w:t>σμα Ἰωάννου</w:t>
      </w:r>
      <w:r w:rsidRPr="00634B03">
        <w:rPr>
          <w:rFonts w:ascii="Times New Roman" w:hAnsi="Times New Roman" w:cs="Times New Roman"/>
          <w:sz w:val="24"/>
          <w:szCs w:val="24"/>
        </w:rPr>
        <w:t xml:space="preserve"> (battesimo di Giovanni) (v. 29)  3. </w:t>
      </w:r>
      <w:r w:rsidRPr="00634B03">
        <w:rPr>
          <w:rFonts w:ascii="Times New Roman" w:hAnsi="Times New Roman" w:cs="Times New Roman"/>
          <w:sz w:val="24"/>
          <w:szCs w:val="24"/>
          <w:lang w:val="el-GR"/>
        </w:rPr>
        <w:t>τὴν βουλὴν τοῦ θεοῦ ἠθέτησαν</w:t>
      </w:r>
      <w:r w:rsidRPr="00634B03">
        <w:rPr>
          <w:rFonts w:ascii="Times New Roman" w:hAnsi="Times New Roman" w:cs="Times New Roman"/>
          <w:sz w:val="24"/>
          <w:szCs w:val="24"/>
        </w:rPr>
        <w:t xml:space="preserve"> (hanno annullato la volontà di Dio) (v. 30). 4. </w:t>
      </w:r>
      <w:r w:rsidRPr="00634B03">
        <w:rPr>
          <w:rFonts w:ascii="Times New Roman" w:hAnsi="Times New Roman" w:cs="Times New Roman"/>
          <w:sz w:val="24"/>
          <w:szCs w:val="24"/>
          <w:lang w:val="el-GR"/>
        </w:rPr>
        <w:t>νομικο</w:t>
      </w:r>
      <w:r w:rsidRPr="00634B03">
        <w:rPr>
          <w:rFonts w:ascii="Times New Roman" w:hAnsi="Times New Roman" w:cs="Times New Roman"/>
          <w:sz w:val="24"/>
          <w:szCs w:val="24"/>
        </w:rPr>
        <w:t>ὶ (scribi) (v. 30).</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1. l'espressione in esame presenta 20 ricorrenze nel NT, di cui 15 sono in Lc/ Atti ( 9 in Lc e 6 in Atti ). Già questa osservazione quantitativa mostra la predilezione di Luca per questa formulazione, che egli trova nel lessico proprio della LXX. Entrando un poco nei dettagli si può notare che in tre contesti appartenenti alla tradizione comune a Mc e Lc, Luca modifica Marco aggiungendovi proprio l'espressione in esame (cfr. Lc 8, 47; 9, 13; 21, 38 e par. in Mc). In altri due ricorrenze della triplice tradizione Luca o aggiunge tale espressione (Lc 18, 43 e par in Mc e Mt) o la sostituisce al più generico </w:t>
      </w:r>
      <w:r w:rsidRPr="00634B03">
        <w:rPr>
          <w:rFonts w:ascii="Times New Roman" w:hAnsi="Times New Roman" w:cs="Times New Roman"/>
          <w:sz w:val="24"/>
          <w:szCs w:val="24"/>
          <w:lang w:val="el-GR"/>
        </w:rPr>
        <w:t>ὄχλος</w:t>
      </w:r>
      <w:r w:rsidRPr="00634B03">
        <w:rPr>
          <w:rFonts w:ascii="Times New Roman" w:hAnsi="Times New Roman" w:cs="Times New Roman"/>
          <w:sz w:val="24"/>
          <w:szCs w:val="24"/>
        </w:rPr>
        <w:t xml:space="preserve"> ( cfr. Lc 20, 45 e par Mc /Mt ). In 7, 29 Luca modifica una fonte che ha in comune con Matteo togliendo il riferimento alle prostitute (</w:t>
      </w:r>
      <w:r w:rsidRPr="00634B03">
        <w:rPr>
          <w:rFonts w:ascii="Times New Roman" w:hAnsi="Times New Roman" w:cs="Times New Roman"/>
          <w:sz w:val="24"/>
          <w:szCs w:val="24"/>
          <w:lang w:val="el-GR"/>
        </w:rPr>
        <w:t>πόρναι</w:t>
      </w:r>
      <w:r w:rsidRPr="00634B03">
        <w:rPr>
          <w:rFonts w:ascii="Times New Roman" w:hAnsi="Times New Roman" w:cs="Times New Roman"/>
          <w:sz w:val="24"/>
          <w:szCs w:val="24"/>
        </w:rPr>
        <w:t xml:space="preserve">) e sostituendolo con la notazione riguardante tutto il popolo. Nelle sei ricorrenze di Atti (3, 9; 3, 11; 4, 10; 5, 34; 10, 41; 13, 24) Luca si riferisce sempre non ad una folla generica, ma precisamente al popolo di Israele. Si tratta del popolo che si riunisce nel tempio di Gerusalemme per il culto dovuto al Dio d’Israele ( cfr. 3, 9. 11 ) e al quale si rivolge Pietro per annunciare il vangelo di Gesù Cristo, morto e risorto ( cfr. 4, 10 ). In queste ricorrenze anche una piccola folla, radunata attorno al tempio, può rappresentare la totalità di Israele, perché ciò che a Luca interessa è la funzione teologica e non la totalità materiale.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Si può concludere affermando che tale espressione è chiaramente redazionale ed è usata dall’evangelista per esprimere la totalità “teologica” del popolo di Israele. </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2.  Il verbo </w:t>
      </w:r>
      <w:proofErr w:type="spellStart"/>
      <w:r w:rsidRPr="00634B03">
        <w:rPr>
          <w:rFonts w:ascii="Times New Roman" w:hAnsi="Times New Roman" w:cs="Times New Roman"/>
          <w:i/>
          <w:sz w:val="24"/>
          <w:szCs w:val="24"/>
        </w:rPr>
        <w:t>baptízo</w:t>
      </w:r>
      <w:proofErr w:type="spellEnd"/>
      <w:r w:rsidRPr="00634B03">
        <w:rPr>
          <w:rFonts w:ascii="Times New Roman" w:hAnsi="Times New Roman" w:cs="Times New Roman"/>
          <w:sz w:val="24"/>
          <w:szCs w:val="24"/>
        </w:rPr>
        <w:t xml:space="preserve"> con oggetto interno (o figura etimologica) ricorre 5 volte in tutto il NT, di cui 2 in Luca e una in Atti. È interessante notare che la ricorrenza di tale espressione in Lc 12, 50 è parallela a Mc 10, 38 - 39 e (probabilmente, ma non vi è evidenza testuale) a Mt 20, 22 - 23. All'infuori di questa tradizione, che riporta un </w:t>
      </w:r>
      <w:proofErr w:type="spellStart"/>
      <w:r w:rsidRPr="00634B03">
        <w:rPr>
          <w:rFonts w:ascii="Times New Roman" w:hAnsi="Times New Roman" w:cs="Times New Roman"/>
          <w:sz w:val="24"/>
          <w:szCs w:val="24"/>
        </w:rPr>
        <w:t>loghion</w:t>
      </w:r>
      <w:proofErr w:type="spellEnd"/>
      <w:r w:rsidRPr="00634B03">
        <w:rPr>
          <w:rFonts w:ascii="Times New Roman" w:hAnsi="Times New Roman" w:cs="Times New Roman"/>
          <w:sz w:val="24"/>
          <w:szCs w:val="24"/>
        </w:rPr>
        <w:t xml:space="preserve"> di Gesù nel dialogo con Giacomo e Giovanni, le uniche ricorrenze si trovano in Lc 7, 29 e Atti 19, 4. Si tratta probabilmente di un'espressione tradizionale che Luca più degli altri evangelisti fa propria. In particolare il parallelo con Atti 19, 4 è illuminante. Anche qui è in gioco il battesimo di Giovanni e il suo ruolo nella teologia della storia proposta da Luca. Prima viene il battesimo di Giovanni, che è un battesimo di conversione amministrato per il popolo in vista della fede nel veniente (</w:t>
      </w:r>
      <w:r w:rsidRPr="00634B03">
        <w:rPr>
          <w:rFonts w:ascii="Times New Roman" w:hAnsi="Times New Roman" w:cs="Times New Roman"/>
          <w:sz w:val="24"/>
          <w:szCs w:val="24"/>
          <w:lang w:val="el-GR"/>
        </w:rPr>
        <w:t>εἰς τὸν ἐρχόμενον</w:t>
      </w:r>
      <w:r w:rsidRPr="00634B03">
        <w:rPr>
          <w:rFonts w:ascii="Times New Roman" w:hAnsi="Times New Roman" w:cs="Times New Roman"/>
          <w:sz w:val="24"/>
          <w:szCs w:val="24"/>
        </w:rPr>
        <w:t>, cfr. anche Lc 7, 19). Poi verrà il dono dello Spirito che gli efesini si appresteranno a ricevere per l'imposizione delle mani di Paolo. Questa duplice scansione dei tempi è presente implicitamente anche in Lc 7, 29 – 30, dal momento che nei versetti successivi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31 – 35), il rifiuto del battesimo di Giovanni viene posto come preludio e motivazione profonda del successivo rifiuto del figlio dell’uomo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Tale battesimo infatti è posto sempre da Luca come preparazione del ministero di Gesù (cfr. Atti 10, 37; 13, 24 ). Inoltre tutta l’azione storico – salvifica di Cristo che culmina con il mistero pasquale e l’ascensione ai cieli ha il suo inizio nel battesimo ricevuto da Gesù stesso (cfr. Atti 1, 22), così che </w:t>
      </w:r>
      <w:r w:rsidRPr="00634B03">
        <w:rPr>
          <w:rFonts w:ascii="Times New Roman" w:hAnsi="Times New Roman" w:cs="Times New Roman"/>
          <w:sz w:val="24"/>
          <w:szCs w:val="24"/>
        </w:rPr>
        <w:lastRenderedPageBreak/>
        <w:t>battesimo e ascensione risultano i due eventi - limite di quel mistero di cui gli apostoli sono testimoni diretti.</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Anche l' espressione “battesimo di Giovanni”(</w:t>
      </w:r>
      <w:r w:rsidRPr="00634B03">
        <w:rPr>
          <w:rFonts w:ascii="Times New Roman" w:hAnsi="Times New Roman" w:cs="Times New Roman"/>
          <w:sz w:val="24"/>
          <w:szCs w:val="24"/>
          <w:lang w:val="el-GR"/>
        </w:rPr>
        <w:t>βάπτ</w:t>
      </w:r>
      <w:r w:rsidRPr="00634B03">
        <w:rPr>
          <w:rFonts w:ascii="Times New Roman" w:hAnsi="Times New Roman" w:cs="Times New Roman"/>
          <w:sz w:val="24"/>
          <w:szCs w:val="24"/>
        </w:rPr>
        <w:t>ι</w:t>
      </w:r>
      <w:r w:rsidRPr="00634B03">
        <w:rPr>
          <w:rFonts w:ascii="Times New Roman" w:hAnsi="Times New Roman" w:cs="Times New Roman"/>
          <w:sz w:val="24"/>
          <w:szCs w:val="24"/>
          <w:lang w:val="el-GR"/>
        </w:rPr>
        <w:t>σμα Ἰωάννου</w:t>
      </w:r>
      <w:r w:rsidRPr="00634B03">
        <w:rPr>
          <w:rFonts w:ascii="Times New Roman" w:hAnsi="Times New Roman" w:cs="Times New Roman"/>
          <w:sz w:val="24"/>
          <w:szCs w:val="24"/>
        </w:rPr>
        <w:t xml:space="preserve">), presente nella tradizione ( cfr. Mt 21, 25 e par; </w:t>
      </w:r>
      <w:proofErr w:type="spellStart"/>
      <w:r w:rsidRPr="00634B03">
        <w:rPr>
          <w:rFonts w:ascii="Times New Roman" w:hAnsi="Times New Roman" w:cs="Times New Roman"/>
          <w:sz w:val="24"/>
          <w:szCs w:val="24"/>
        </w:rPr>
        <w:t>Mk</w:t>
      </w:r>
      <w:proofErr w:type="spellEnd"/>
      <w:r w:rsidRPr="00634B03">
        <w:rPr>
          <w:rFonts w:ascii="Times New Roman" w:hAnsi="Times New Roman" w:cs="Times New Roman"/>
          <w:sz w:val="24"/>
          <w:szCs w:val="24"/>
        </w:rPr>
        <w:t xml:space="preserve"> 11, 30 e par; ) si ritrova soprattutto in Atti ( cfr. At 1, 22; 18, 25; 19, 3 ).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Ciò dunque mostra l'utilizzo ripetuto e personale che l'evangelista fa di espressioni presenti nella tradizione riguardante Giovanni Battista, per sottolineare la funzione del suo battesimo nella storia della salvezza.</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3. il termine </w:t>
      </w:r>
      <w:r w:rsidRPr="00634B03">
        <w:rPr>
          <w:rFonts w:ascii="Times New Roman" w:hAnsi="Times New Roman" w:cs="Times New Roman"/>
          <w:sz w:val="24"/>
          <w:szCs w:val="24"/>
          <w:lang w:val="el-GR"/>
        </w:rPr>
        <w:t>βουλ</w:t>
      </w:r>
      <w:r w:rsidRPr="00634B03">
        <w:rPr>
          <w:rFonts w:ascii="Times New Roman" w:hAnsi="Times New Roman" w:cs="Times New Roman"/>
          <w:sz w:val="24"/>
          <w:szCs w:val="24"/>
        </w:rPr>
        <w:t xml:space="preserve">ὴ presenta 12 ricorrenze in totale nel NT, di cui 9 in Lc/ Atti ( 2 nel Vangelo e 7 in Atti ) e altre 3 ricorrenze in 1 </w:t>
      </w:r>
      <w:proofErr w:type="spellStart"/>
      <w:r w:rsidRPr="00634B03">
        <w:rPr>
          <w:rFonts w:ascii="Times New Roman" w:hAnsi="Times New Roman" w:cs="Times New Roman"/>
          <w:sz w:val="24"/>
          <w:szCs w:val="24"/>
        </w:rPr>
        <w:t>Cor</w:t>
      </w:r>
      <w:proofErr w:type="spellEnd"/>
      <w:r w:rsidRPr="00634B03">
        <w:rPr>
          <w:rFonts w:ascii="Times New Roman" w:hAnsi="Times New Roman" w:cs="Times New Roman"/>
          <w:sz w:val="24"/>
          <w:szCs w:val="24"/>
        </w:rPr>
        <w:t xml:space="preserve">, </w:t>
      </w:r>
      <w:proofErr w:type="spellStart"/>
      <w:r w:rsidRPr="00634B03">
        <w:rPr>
          <w:rFonts w:ascii="Times New Roman" w:hAnsi="Times New Roman" w:cs="Times New Roman"/>
          <w:sz w:val="24"/>
          <w:szCs w:val="24"/>
        </w:rPr>
        <w:t>Ef</w:t>
      </w:r>
      <w:proofErr w:type="spellEnd"/>
      <w:r w:rsidRPr="00634B03">
        <w:rPr>
          <w:rFonts w:ascii="Times New Roman" w:hAnsi="Times New Roman" w:cs="Times New Roman"/>
          <w:sz w:val="24"/>
          <w:szCs w:val="24"/>
        </w:rPr>
        <w:t xml:space="preserve">, </w:t>
      </w:r>
      <w:proofErr w:type="spellStart"/>
      <w:r w:rsidRPr="00634B03">
        <w:rPr>
          <w:rFonts w:ascii="Times New Roman" w:hAnsi="Times New Roman" w:cs="Times New Roman"/>
          <w:sz w:val="24"/>
          <w:szCs w:val="24"/>
        </w:rPr>
        <w:t>Eb</w:t>
      </w:r>
      <w:proofErr w:type="spellEnd"/>
      <w:r w:rsidRPr="00634B03">
        <w:rPr>
          <w:rFonts w:ascii="Times New Roman" w:hAnsi="Times New Roman" w:cs="Times New Roman"/>
          <w:sz w:val="24"/>
          <w:szCs w:val="24"/>
        </w:rPr>
        <w:t xml:space="preserve">. Si può mostrare che Luca utilizza questo termine per indicare una decisione, un progetto di natura umana ( cfr. Lc 23, 51; At 27, 12; At 27, 42 ) o voluto da Dio ( cfr. Lc 7, 30; Atti 2, 23; 4, 28; 5, 38; 13, 36;  20,27 ). In particolare in Lc 7, 20, Atti 13, 36 e 20, 27 è presente esplicitamente l'espressione </w:t>
      </w:r>
      <w:r w:rsidRPr="00634B03">
        <w:rPr>
          <w:rFonts w:ascii="Times New Roman" w:hAnsi="Times New Roman" w:cs="Times New Roman"/>
          <w:sz w:val="24"/>
          <w:szCs w:val="24"/>
          <w:lang w:val="el-GR"/>
        </w:rPr>
        <w:t>βουλ</w:t>
      </w:r>
      <w:r w:rsidRPr="00634B03">
        <w:rPr>
          <w:rFonts w:ascii="Times New Roman" w:hAnsi="Times New Roman" w:cs="Times New Roman"/>
          <w:sz w:val="24"/>
          <w:szCs w:val="24"/>
        </w:rPr>
        <w:t>ὴ</w:t>
      </w:r>
      <w:r w:rsidRPr="00634B03">
        <w:rPr>
          <w:rFonts w:ascii="Times New Roman" w:hAnsi="Times New Roman" w:cs="Times New Roman"/>
          <w:sz w:val="24"/>
          <w:szCs w:val="24"/>
          <w:lang w:val="el-GR"/>
        </w:rPr>
        <w:t xml:space="preserve"> το</w:t>
      </w:r>
      <w:r w:rsidRPr="00634B03">
        <w:rPr>
          <w:rFonts w:ascii="Times New Roman" w:hAnsi="Times New Roman" w:cs="Times New Roman"/>
          <w:sz w:val="24"/>
          <w:szCs w:val="24"/>
        </w:rPr>
        <w:t>ῦ</w:t>
      </w:r>
      <w:r w:rsidRPr="00634B03">
        <w:rPr>
          <w:rFonts w:ascii="Times New Roman" w:hAnsi="Times New Roman" w:cs="Times New Roman"/>
          <w:sz w:val="24"/>
          <w:szCs w:val="24"/>
          <w:lang w:val="el-GR"/>
        </w:rPr>
        <w:t xml:space="preserve"> θεο</w:t>
      </w:r>
      <w:r w:rsidRPr="00634B03">
        <w:rPr>
          <w:rFonts w:ascii="Times New Roman" w:hAnsi="Times New Roman" w:cs="Times New Roman"/>
          <w:sz w:val="24"/>
          <w:szCs w:val="24"/>
        </w:rPr>
        <w:t xml:space="preserve">ῦ. In Atti 2, 23 e 4, 28 tale progetto di Dio è quello che riguarda la consegna di Gesù e la sua morte. In 5,38 è </w:t>
      </w:r>
      <w:proofErr w:type="spellStart"/>
      <w:r w:rsidRPr="00634B03">
        <w:rPr>
          <w:rFonts w:ascii="Times New Roman" w:hAnsi="Times New Roman" w:cs="Times New Roman"/>
          <w:sz w:val="24"/>
          <w:szCs w:val="24"/>
        </w:rPr>
        <w:t>Gamaliele</w:t>
      </w:r>
      <w:proofErr w:type="spellEnd"/>
      <w:r w:rsidRPr="00634B03">
        <w:rPr>
          <w:rFonts w:ascii="Times New Roman" w:hAnsi="Times New Roman" w:cs="Times New Roman"/>
          <w:sz w:val="24"/>
          <w:szCs w:val="24"/>
        </w:rPr>
        <w:t xml:space="preserve"> a prendere parola con saggezza, per mettere in guardia il sinedrio di fronte all'inutilità della loro lotta contro un progetto che se viene dagli uomini, finirà da solo, e se invece viene da Dio, non potrà essere contrastato. Tale progetto di Dio, che si compie nella Chiesa per l'annuncio degli apostoli, trova un ulteriore riferimento in Atti 20, 27, nel discorso di Paolo agli anziani di Efeso. È dunque evidente la densità teologica di questo termine per l'evangelista.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Si può quindi affermare che l’espressione </w:t>
      </w:r>
      <w:r w:rsidRPr="00634B03">
        <w:rPr>
          <w:rFonts w:ascii="Times New Roman" w:hAnsi="Times New Roman" w:cs="Times New Roman"/>
          <w:sz w:val="24"/>
          <w:szCs w:val="24"/>
          <w:lang w:val="el-GR"/>
        </w:rPr>
        <w:t>τὴν βουλὴν τοῦ θεοῦ ἠθέτησαν</w:t>
      </w:r>
      <w:r w:rsidRPr="00634B03">
        <w:rPr>
          <w:rFonts w:ascii="Times New Roman" w:hAnsi="Times New Roman" w:cs="Times New Roman"/>
          <w:sz w:val="24"/>
          <w:szCs w:val="24"/>
        </w:rPr>
        <w:t xml:space="preserve"> sia un chiaro conio lucano, utile ad indicare in estrema sintesi da un lato tutto il disegno salvifico di Dio che culmina nella morte e resurrezione di Cristo e che si prolunga nella storia della Chiesa e dall’altro la grave responsabilità di chi lo rifiuta. </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4.  il termine </w:t>
      </w:r>
      <w:r w:rsidRPr="00634B03">
        <w:rPr>
          <w:rFonts w:ascii="Times New Roman" w:hAnsi="Times New Roman" w:cs="Times New Roman"/>
          <w:sz w:val="24"/>
          <w:szCs w:val="24"/>
          <w:lang w:val="el-GR"/>
        </w:rPr>
        <w:t>νομικο</w:t>
      </w:r>
      <w:r w:rsidRPr="00634B03">
        <w:rPr>
          <w:rFonts w:ascii="Times New Roman" w:hAnsi="Times New Roman" w:cs="Times New Roman"/>
          <w:sz w:val="24"/>
          <w:szCs w:val="24"/>
        </w:rPr>
        <w:t>ὶ (scribi) è usato praticamente solo da Luca fra gli evangelisti ( c'è una sola ricorrenza in Mt 22, 35 ma essa è dubbia dal punto di vista testuale</w:t>
      </w:r>
      <w:r w:rsidRPr="00634B03">
        <w:rPr>
          <w:rFonts w:ascii="Times New Roman" w:hAnsi="Times New Roman" w:cs="Times New Roman"/>
          <w:sz w:val="24"/>
          <w:szCs w:val="24"/>
          <w:vertAlign w:val="superscript"/>
        </w:rPr>
        <w:footnoteReference w:id="7"/>
      </w:r>
      <w:r w:rsidRPr="00634B03">
        <w:rPr>
          <w:rFonts w:ascii="Times New Roman" w:hAnsi="Times New Roman" w:cs="Times New Roman"/>
          <w:sz w:val="24"/>
          <w:szCs w:val="24"/>
        </w:rPr>
        <w:t xml:space="preserve">). Su 8 ricorrenze totali nel NT 6 sono nel terzo Vangelo e 2 nella lettera a Tito. Si può inoltre notare che Luca usa il sinonimo </w:t>
      </w:r>
      <w:proofErr w:type="spellStart"/>
      <w:r w:rsidRPr="00634B03">
        <w:rPr>
          <w:rFonts w:ascii="Times New Roman" w:hAnsi="Times New Roman" w:cs="Times New Roman"/>
          <w:i/>
          <w:sz w:val="24"/>
          <w:szCs w:val="24"/>
        </w:rPr>
        <w:t>grammatѐus</w:t>
      </w:r>
      <w:proofErr w:type="spellEnd"/>
      <w:r w:rsidRPr="00634B03">
        <w:rPr>
          <w:rFonts w:ascii="Times New Roman" w:hAnsi="Times New Roman" w:cs="Times New Roman"/>
          <w:sz w:val="24"/>
          <w:szCs w:val="24"/>
        </w:rPr>
        <w:t xml:space="preserve"> ogni volta in cui dipende da Mc ( cfr. 5, 21. 30; 9, 22; 19, 47; 20, 1. 46; 22, 2 ). Queste osservazioni mostrano con </w:t>
      </w:r>
      <w:proofErr w:type="spellStart"/>
      <w:r w:rsidRPr="00634B03">
        <w:rPr>
          <w:rFonts w:ascii="Times New Roman" w:hAnsi="Times New Roman" w:cs="Times New Roman"/>
          <w:sz w:val="24"/>
          <w:szCs w:val="24"/>
        </w:rPr>
        <w:t>sufficente</w:t>
      </w:r>
      <w:proofErr w:type="spellEnd"/>
      <w:r w:rsidRPr="00634B03">
        <w:rPr>
          <w:rFonts w:ascii="Times New Roman" w:hAnsi="Times New Roman" w:cs="Times New Roman"/>
          <w:sz w:val="24"/>
          <w:szCs w:val="24"/>
        </w:rPr>
        <w:t xml:space="preserve"> chiarezza che tale vocabolo è proprio del redattore del terzo Vangelo. </w:t>
      </w:r>
    </w:p>
    <w:p w:rsidR="003D2C8B" w:rsidRPr="00634B03" w:rsidRDefault="003D2C8B" w:rsidP="003D2C8B">
      <w:pPr>
        <w:jc w:val="both"/>
        <w:rPr>
          <w:rFonts w:ascii="Times New Roman" w:hAnsi="Times New Roman" w:cs="Times New Roman"/>
          <w:bCs/>
          <w:iCs/>
          <w:sz w:val="24"/>
          <w:szCs w:val="24"/>
        </w:rPr>
      </w:pPr>
      <w:bookmarkStart w:id="10" w:name="_Toc313124110"/>
      <w:bookmarkStart w:id="11" w:name="_Toc313910471"/>
      <w:r>
        <w:rPr>
          <w:rFonts w:ascii="Times New Roman" w:hAnsi="Times New Roman" w:cs="Times New Roman"/>
          <w:bCs/>
          <w:i/>
          <w:iCs/>
          <w:sz w:val="24"/>
          <w:szCs w:val="24"/>
        </w:rPr>
        <w:t xml:space="preserve">6. </w:t>
      </w:r>
      <w:r w:rsidRPr="00634B03">
        <w:rPr>
          <w:rFonts w:ascii="Times New Roman" w:hAnsi="Times New Roman" w:cs="Times New Roman"/>
          <w:bCs/>
          <w:i/>
          <w:iCs/>
          <w:sz w:val="24"/>
          <w:szCs w:val="24"/>
        </w:rPr>
        <w:t xml:space="preserve">4. 2 L’USO DI </w:t>
      </w:r>
      <w:r w:rsidRPr="00634B03">
        <w:rPr>
          <w:rFonts w:ascii="Times New Roman" w:hAnsi="Times New Roman" w:cs="Times New Roman"/>
          <w:bCs/>
          <w:iCs/>
          <w:sz w:val="24"/>
          <w:szCs w:val="24"/>
        </w:rPr>
        <w:t>DIKAIÒŌ</w:t>
      </w:r>
      <w:bookmarkEnd w:id="10"/>
      <w:bookmarkEnd w:id="11"/>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Il verbo </w:t>
      </w:r>
      <w:proofErr w:type="spellStart"/>
      <w:r w:rsidRPr="00634B03">
        <w:rPr>
          <w:rFonts w:ascii="Times New Roman" w:hAnsi="Times New Roman" w:cs="Times New Roman"/>
          <w:i/>
          <w:sz w:val="24"/>
          <w:szCs w:val="24"/>
        </w:rPr>
        <w:t>dikaióō</w:t>
      </w:r>
      <w:proofErr w:type="spellEnd"/>
      <w:r w:rsidRPr="00634B03">
        <w:rPr>
          <w:rFonts w:ascii="Times New Roman" w:hAnsi="Times New Roman" w:cs="Times New Roman"/>
          <w:sz w:val="24"/>
          <w:szCs w:val="24"/>
        </w:rPr>
        <w:t xml:space="preserve"> (</w:t>
      </w:r>
      <w:proofErr w:type="spellStart"/>
      <w:r w:rsidRPr="00634B03">
        <w:rPr>
          <w:rFonts w:ascii="Times New Roman" w:hAnsi="Times New Roman" w:cs="Times New Roman"/>
          <w:sz w:val="24"/>
          <w:szCs w:val="24"/>
        </w:rPr>
        <w:t>trad</w:t>
      </w:r>
      <w:proofErr w:type="spellEnd"/>
      <w:r w:rsidRPr="00634B03">
        <w:rPr>
          <w:rFonts w:ascii="Times New Roman" w:hAnsi="Times New Roman" w:cs="Times New Roman"/>
          <w:sz w:val="24"/>
          <w:szCs w:val="24"/>
        </w:rPr>
        <w:t>. riconoscere la giustizia o giustificare) in Luca si trova con oggetto riferito a persona umana, nelle parti dove è chiaro l’intervento redazionale di Luca (cfr. Lc 10, 29; 18, 14). Quest'uso è comune anche ad Atti, dove l'accezione del verbo è propriamente paolina ( cfr. At 13, 38. 39; cfr. anche Lc 18, 14 ).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lastRenderedPageBreak/>
        <w:t xml:space="preserve">Le uniche due ricorrenze di </w:t>
      </w:r>
      <w:proofErr w:type="spellStart"/>
      <w:r w:rsidRPr="00634B03">
        <w:rPr>
          <w:rFonts w:ascii="Times New Roman" w:hAnsi="Times New Roman" w:cs="Times New Roman"/>
          <w:i/>
          <w:sz w:val="24"/>
          <w:szCs w:val="24"/>
        </w:rPr>
        <w:t>dikaióō</w:t>
      </w:r>
      <w:proofErr w:type="spellEnd"/>
      <w:r w:rsidRPr="00634B03">
        <w:rPr>
          <w:rFonts w:ascii="Times New Roman" w:hAnsi="Times New Roman" w:cs="Times New Roman"/>
          <w:sz w:val="24"/>
          <w:szCs w:val="24"/>
        </w:rPr>
        <w:t xml:space="preserve"> con Dio per oggetto si trovano in 7, 29. 35, in un contesto dove Luca dipende da una fonte che ha in comune con Matteo.</w:t>
      </w:r>
      <w:r w:rsidRPr="00634B03">
        <w:rPr>
          <w:rFonts w:ascii="Times New Roman" w:hAnsi="Times New Roman" w:cs="Times New Roman"/>
          <w:sz w:val="24"/>
          <w:szCs w:val="24"/>
          <w:vertAlign w:val="superscript"/>
        </w:rPr>
        <w:footnoteReference w:id="8"/>
      </w:r>
      <w:r w:rsidRPr="00634B03">
        <w:rPr>
          <w:rFonts w:ascii="Times New Roman" w:hAnsi="Times New Roman" w:cs="Times New Roman"/>
          <w:sz w:val="24"/>
          <w:szCs w:val="24"/>
        </w:rPr>
        <w:t xml:space="preserve"> </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Questo significa che Luca usa questo verbo con un'accezione piuttosto tradizionale, che proviene dalla fonte che egli utilizza. Ma </w:t>
      </w:r>
      <w:proofErr w:type="spellStart"/>
      <w:r w:rsidRPr="00634B03">
        <w:rPr>
          <w:rFonts w:ascii="Times New Roman" w:hAnsi="Times New Roman" w:cs="Times New Roman"/>
          <w:sz w:val="24"/>
          <w:szCs w:val="24"/>
        </w:rPr>
        <w:t>qual'è</w:t>
      </w:r>
      <w:proofErr w:type="spellEnd"/>
      <w:r w:rsidRPr="00634B03">
        <w:rPr>
          <w:rFonts w:ascii="Times New Roman" w:hAnsi="Times New Roman" w:cs="Times New Roman"/>
          <w:sz w:val="24"/>
          <w:szCs w:val="24"/>
        </w:rPr>
        <w:t xml:space="preserve"> qui la connotazione precisa e a quale tradizione fa riferimento?</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L'uso di  </w:t>
      </w:r>
      <w:proofErr w:type="spellStart"/>
      <w:r w:rsidRPr="00634B03">
        <w:rPr>
          <w:rFonts w:ascii="Times New Roman" w:hAnsi="Times New Roman" w:cs="Times New Roman"/>
          <w:i/>
          <w:sz w:val="24"/>
          <w:szCs w:val="24"/>
        </w:rPr>
        <w:t>dikaióō</w:t>
      </w:r>
      <w:proofErr w:type="spellEnd"/>
      <w:r w:rsidRPr="00634B03">
        <w:rPr>
          <w:rFonts w:ascii="Times New Roman" w:hAnsi="Times New Roman" w:cs="Times New Roman"/>
          <w:sz w:val="24"/>
          <w:szCs w:val="24"/>
        </w:rPr>
        <w:t xml:space="preserve"> con Dio come oggetto è attestato nel NT, quasi unicamente nei passi che stiamo esaminando ( Lc 7, 29. 35 e Mt 11, 19; cfr. anche </w:t>
      </w:r>
      <w:proofErr w:type="spellStart"/>
      <w:r w:rsidRPr="00634B03">
        <w:rPr>
          <w:rFonts w:ascii="Times New Roman" w:hAnsi="Times New Roman" w:cs="Times New Roman"/>
          <w:sz w:val="24"/>
          <w:szCs w:val="24"/>
        </w:rPr>
        <w:t>Rm</w:t>
      </w:r>
      <w:proofErr w:type="spellEnd"/>
      <w:r w:rsidRPr="00634B03">
        <w:rPr>
          <w:rFonts w:ascii="Times New Roman" w:hAnsi="Times New Roman" w:cs="Times New Roman"/>
          <w:sz w:val="24"/>
          <w:szCs w:val="24"/>
        </w:rPr>
        <w:t xml:space="preserve"> 3, 4, che è una citazione del Salmo 51, 6 e 1 Tm 3, 16). Esso in prima analisi, ha qui il significato di "riconoscere, dichiarare giusto" </w:t>
      </w:r>
      <w:r w:rsidRPr="00634B03">
        <w:rPr>
          <w:rFonts w:ascii="Times New Roman" w:hAnsi="Times New Roman" w:cs="Times New Roman"/>
          <w:sz w:val="24"/>
          <w:szCs w:val="24"/>
          <w:vertAlign w:val="superscript"/>
        </w:rPr>
        <w:footnoteReference w:id="9"/>
      </w:r>
      <w:r w:rsidRPr="00634B03">
        <w:rPr>
          <w:rFonts w:ascii="Times New Roman" w:hAnsi="Times New Roman" w:cs="Times New Roman"/>
          <w:sz w:val="24"/>
          <w:szCs w:val="24"/>
        </w:rPr>
        <w:t>. Uno sguardo più ampio alle ricorrenze di tale connotazione può arricchire la comprensione. Si tratta prevalentemente di contesti sapienziali, nei quali tale espressione comporta il riconoscimento della giustizia del piano di Dio e della sua salvezza. Nel Salmo 51 ad esempio, in un contesto penitenziale, il riconoscimento del proprio peccato è simultaneamente un riconoscere Dio come giusto</w:t>
      </w:r>
      <w:r w:rsidRPr="00634B03">
        <w:rPr>
          <w:rFonts w:ascii="Times New Roman" w:hAnsi="Times New Roman" w:cs="Times New Roman"/>
          <w:sz w:val="24"/>
          <w:szCs w:val="24"/>
          <w:vertAlign w:val="superscript"/>
        </w:rPr>
        <w:footnoteReference w:id="10"/>
      </w:r>
      <w:r w:rsidRPr="00634B03">
        <w:rPr>
          <w:rFonts w:ascii="Times New Roman" w:hAnsi="Times New Roman" w:cs="Times New Roman"/>
          <w:sz w:val="24"/>
          <w:szCs w:val="24"/>
        </w:rPr>
        <w:t xml:space="preserve">.Non si tratta qui unicamente di un atto di comprensione intellettuale, ma di un processo di conversione che attraversa tutta la persona. Nei versetti lucani che stiamo esaminando il contesto complessivo di accusa nei confronti dei notabili e i riferimenti penitenziali al battesimo di Giovanni devono aver orientato l'evangelista a scegliere questa particolare connotazione di </w:t>
      </w:r>
      <w:proofErr w:type="spellStart"/>
      <w:r w:rsidRPr="00634B03">
        <w:rPr>
          <w:rFonts w:ascii="Times New Roman" w:hAnsi="Times New Roman" w:cs="Times New Roman"/>
          <w:i/>
          <w:sz w:val="24"/>
          <w:szCs w:val="24"/>
        </w:rPr>
        <w:t>dikaióō</w:t>
      </w:r>
      <w:proofErr w:type="spellEnd"/>
      <w:r w:rsidRPr="00634B03">
        <w:rPr>
          <w:rFonts w:ascii="Times New Roman" w:hAnsi="Times New Roman" w:cs="Times New Roman"/>
          <w:sz w:val="24"/>
          <w:szCs w:val="24"/>
        </w:rPr>
        <w:t xml:space="preserve">, per esprimere che il processo di conversione dei peccatori comporta simultaneamente un riconoscimento della giustizia del piano salvifico di Dio, conforme alla volontà stessa di Dio. </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bCs/>
          <w:sz w:val="24"/>
          <w:szCs w:val="24"/>
        </w:rPr>
      </w:pPr>
      <w:bookmarkStart w:id="12" w:name="_Toc313124111"/>
      <w:bookmarkStart w:id="13" w:name="_Toc313910472"/>
      <w:r w:rsidRPr="00634B03">
        <w:rPr>
          <w:rFonts w:ascii="Times New Roman" w:hAnsi="Times New Roman" w:cs="Times New Roman"/>
          <w:bCs/>
          <w:sz w:val="24"/>
          <w:szCs w:val="24"/>
        </w:rPr>
        <w:t xml:space="preserve">6. 5. I </w:t>
      </w:r>
      <w:proofErr w:type="spellStart"/>
      <w:r w:rsidRPr="00634B03">
        <w:rPr>
          <w:rFonts w:ascii="Times New Roman" w:hAnsi="Times New Roman" w:cs="Times New Roman"/>
          <w:bCs/>
          <w:sz w:val="24"/>
          <w:szCs w:val="24"/>
        </w:rPr>
        <w:t>vv</w:t>
      </w:r>
      <w:proofErr w:type="spellEnd"/>
      <w:r w:rsidRPr="00634B03">
        <w:rPr>
          <w:rFonts w:ascii="Times New Roman" w:hAnsi="Times New Roman" w:cs="Times New Roman"/>
          <w:bCs/>
          <w:sz w:val="24"/>
          <w:szCs w:val="24"/>
        </w:rPr>
        <w:t xml:space="preserve">. 29 – 30 NEL CONTESTO DELLA SEZIONE SUL BATTISTA  ( </w:t>
      </w:r>
      <w:proofErr w:type="spellStart"/>
      <w:r w:rsidRPr="00634B03">
        <w:rPr>
          <w:rFonts w:ascii="Times New Roman" w:hAnsi="Times New Roman" w:cs="Times New Roman"/>
          <w:bCs/>
          <w:sz w:val="24"/>
          <w:szCs w:val="24"/>
        </w:rPr>
        <w:t>vv</w:t>
      </w:r>
      <w:proofErr w:type="spellEnd"/>
      <w:r w:rsidRPr="00634B03">
        <w:rPr>
          <w:rFonts w:ascii="Times New Roman" w:hAnsi="Times New Roman" w:cs="Times New Roman"/>
          <w:bCs/>
          <w:sz w:val="24"/>
          <w:szCs w:val="24"/>
        </w:rPr>
        <w:t>. 18 - 35 )</w:t>
      </w:r>
      <w:bookmarkEnd w:id="12"/>
      <w:bookmarkEnd w:id="13"/>
    </w:p>
    <w:p w:rsidR="003D2C8B" w:rsidRPr="00634B03" w:rsidRDefault="003D2C8B" w:rsidP="003D2C8B">
      <w:pPr>
        <w:jc w:val="both"/>
        <w:rPr>
          <w:rFonts w:ascii="Times New Roman" w:hAnsi="Times New Roman" w:cs="Times New Roman"/>
          <w:bCs/>
          <w:iCs/>
          <w:sz w:val="24"/>
          <w:szCs w:val="24"/>
        </w:rPr>
      </w:pPr>
      <w:bookmarkStart w:id="14" w:name="_Toc313124112"/>
      <w:bookmarkStart w:id="15" w:name="_Toc313910473"/>
      <w:r w:rsidRPr="00634B03">
        <w:rPr>
          <w:rFonts w:ascii="Times New Roman" w:hAnsi="Times New Roman" w:cs="Times New Roman"/>
          <w:bCs/>
          <w:iCs/>
          <w:sz w:val="24"/>
          <w:szCs w:val="24"/>
        </w:rPr>
        <w:t>6. 5. 1 UNA DIFFERENZA IN ISRAELE.</w:t>
      </w:r>
      <w:bookmarkEnd w:id="14"/>
      <w:bookmarkEnd w:id="15"/>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Dopo aver dimostrato che i versetti in esame presentano evidenti tracce di rielaborazione redazionale da parte dell’evangelista, ora ci si può chiedere quale motivazione, insieme teologica e letteraria, abbia guidato Luca in tale lavoro redazionale. Per far questo è necessario approfondire i legami di questi versetti con la più ampia pericope in cui sono inseriti (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24 – 35 ). Si è già osservato come Luca segua da vicino la fonte che ha in comune con Matteo dal v. 24 fino al v. 28 e come sia poi assente in Luca il riferimento </w:t>
      </w:r>
      <w:proofErr w:type="spellStart"/>
      <w:r w:rsidRPr="00634B03">
        <w:rPr>
          <w:rFonts w:ascii="Times New Roman" w:hAnsi="Times New Roman" w:cs="Times New Roman"/>
          <w:sz w:val="24"/>
          <w:szCs w:val="24"/>
        </w:rPr>
        <w:t>matteano</w:t>
      </w:r>
      <w:proofErr w:type="spellEnd"/>
      <w:r w:rsidRPr="00634B03">
        <w:rPr>
          <w:rFonts w:ascii="Times New Roman" w:hAnsi="Times New Roman" w:cs="Times New Roman"/>
          <w:sz w:val="24"/>
          <w:szCs w:val="24"/>
        </w:rPr>
        <w:t xml:space="preserve"> all’Elia redivivo, applicato a Giovanni il Battista, e al suo posto vi siano 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29 – 30 in esame. Si avverte una certa tensione nel passaggio dal v. 28 al v. 29. Infatti al v. 28 ci si trova ancora all’interno della presentazione di Giovanni il Battista da parte di Gesù con un confronto tra i due eoni della storia della salvezza, in cui il più piccolo nell’eone del regno di Dio è più grande di Giovanni il Battista. Invece con il v. 29 Giovanni il Battista non è più direttamente l’oggetto del discorso, ma viene introdotto improvvisamente un altro paragone, quello tra il popolo e i pubblicani da una parte e i farisei e i dottori della legge dall’altra. Infine tale versetto è il primo dell’intera pericope in cui si chiama in causa il battesimo di </w:t>
      </w:r>
      <w:r w:rsidRPr="00634B03">
        <w:rPr>
          <w:rFonts w:ascii="Times New Roman" w:hAnsi="Times New Roman" w:cs="Times New Roman"/>
          <w:sz w:val="24"/>
          <w:szCs w:val="24"/>
        </w:rPr>
        <w:lastRenderedPageBreak/>
        <w:t xml:space="preserve">Giovanni. Fino ad ora infatti si era parlato di Giovanni e non del suo battesimo. Per queste ragioni non è possibile, come invece fa </w:t>
      </w:r>
      <w:proofErr w:type="spellStart"/>
      <w:r w:rsidRPr="00634B03">
        <w:rPr>
          <w:rFonts w:ascii="Times New Roman" w:hAnsi="Times New Roman" w:cs="Times New Roman"/>
          <w:sz w:val="24"/>
          <w:szCs w:val="24"/>
        </w:rPr>
        <w:t>Bock</w:t>
      </w:r>
      <w:proofErr w:type="spellEnd"/>
      <w:r w:rsidRPr="00634B03">
        <w:rPr>
          <w:rFonts w:ascii="Times New Roman" w:hAnsi="Times New Roman" w:cs="Times New Roman"/>
          <w:sz w:val="24"/>
          <w:szCs w:val="24"/>
          <w:vertAlign w:val="superscript"/>
        </w:rPr>
        <w:footnoteReference w:id="11"/>
      </w:r>
      <w:r w:rsidRPr="00634B03">
        <w:rPr>
          <w:rFonts w:ascii="Times New Roman" w:hAnsi="Times New Roman" w:cs="Times New Roman"/>
          <w:sz w:val="24"/>
          <w:szCs w:val="24"/>
        </w:rPr>
        <w:t>, considerare i due versetti come parte integrante del discorso di Gesù su Giovanni il Battista.</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Al v. 31 poi l’evangelista riprende la fonte comune con Matteo che presenta un’accusa diretta, con connotazioni sapienziali, nei confronti di questa generazione. Essa, non comprendendo l’annuncio penitenziale di Giovanni, non è potuta entrare nella gioia della comunione con il figlio dell’uomo. Nella versione lucana questa seconda parte (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31 – 35 ) si riallaccia con ciò che precede, in modo tale che “questa generazione” ( v. 31) viene a coincidere con “i farisei e i dottori della legge” ( v. 30 ). Così se nella versione di Matteo l’espressione “questa generazione” va intesa in senso globale, invece Luca, grazie all’inserzione dei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29-30 ha introdotto una separazione.</w:t>
      </w:r>
      <w:r w:rsidRPr="00634B03">
        <w:rPr>
          <w:rFonts w:ascii="Times New Roman" w:hAnsi="Times New Roman" w:cs="Times New Roman"/>
          <w:sz w:val="24"/>
          <w:szCs w:val="24"/>
          <w:vertAlign w:val="superscript"/>
        </w:rPr>
        <w:footnoteReference w:id="12"/>
      </w:r>
      <w:r w:rsidRPr="00634B03">
        <w:rPr>
          <w:rFonts w:ascii="Times New Roman" w:hAnsi="Times New Roman" w:cs="Times New Roman"/>
          <w:sz w:val="24"/>
          <w:szCs w:val="24"/>
        </w:rPr>
        <w:t xml:space="preserve"> L’accusa è diretta nei confronti dei capi (farisei e scribi), e non di tutto il popolo. C’è infatti una parte di popolo, umile e peccatore, con cui  si identifica teologicamente la totalità del popolo che, facendosi battezzare da Giovanni, ha riconosciuto la giustizia di Dio.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Alla luce di queste considerazioni risulta più chiaro il ruolo chiave assunto da questi due versetti nel contesto della pericope. Quando nella fonte che Luca utilizza la presentazione di Giovanni il Battista arriva ad un punto culminante con il confronto tra i due eoni al v. 28, a Luca interessa soffermarsi sulle condizioni di accesso all’eone del Regno di Dio e sulla separazione che viene a crearsi tra coloro che accolgono il piano e coloro che non l’hanno accolto, proprio in relazione al ruolo storico – salvifico giocato da Giovanni come precursore. In tal modo l’attenzione si sposta sensibilmente da Giovanni il Battista agli uditori del messaggio di salvezza così da motivare più profondamente le loro opposte reazioni al battesimo di Giovanni e quindi al messaggio stesso di Gesù.</w:t>
      </w:r>
    </w:p>
    <w:p w:rsidR="003D2C8B" w:rsidRPr="00634B03" w:rsidRDefault="003D2C8B" w:rsidP="003D2C8B">
      <w:pPr>
        <w:jc w:val="both"/>
        <w:rPr>
          <w:rFonts w:ascii="Times New Roman" w:hAnsi="Times New Roman" w:cs="Times New Roman"/>
          <w:i/>
          <w:sz w:val="24"/>
          <w:szCs w:val="24"/>
        </w:rPr>
      </w:pPr>
      <w:r w:rsidRPr="00634B03">
        <w:rPr>
          <w:rFonts w:ascii="Times New Roman" w:hAnsi="Times New Roman" w:cs="Times New Roman"/>
          <w:sz w:val="24"/>
          <w:szCs w:val="24"/>
        </w:rPr>
        <w:t xml:space="preserve">L’incomprensione del proprio peccato davanti a Dio e la conseguente assenza di una dimensione penitenziale nella propria esistenza, dimensione sottolineata dal battesimo di Giovanni e simbolizzata dall’incapacità di piangere di fronte al lamento (cfr. v. 32), porta alla conseguente radicale incomprensione del messaggio di salvezza proposto da Gesù, simbolizzata dall’incapacità di danzare al suono flauto. </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bCs/>
          <w:iCs/>
          <w:sz w:val="24"/>
          <w:szCs w:val="24"/>
        </w:rPr>
      </w:pPr>
      <w:bookmarkStart w:id="16" w:name="_Toc313124113"/>
      <w:bookmarkStart w:id="17" w:name="_Toc313910474"/>
      <w:r>
        <w:rPr>
          <w:rFonts w:ascii="Times New Roman" w:hAnsi="Times New Roman" w:cs="Times New Roman"/>
          <w:bCs/>
          <w:iCs/>
          <w:sz w:val="24"/>
          <w:szCs w:val="24"/>
        </w:rPr>
        <w:t xml:space="preserve">6. </w:t>
      </w:r>
      <w:r w:rsidRPr="00634B03">
        <w:rPr>
          <w:rFonts w:ascii="Times New Roman" w:hAnsi="Times New Roman" w:cs="Times New Roman"/>
          <w:bCs/>
          <w:iCs/>
          <w:sz w:val="24"/>
          <w:szCs w:val="24"/>
        </w:rPr>
        <w:t>5. 2 CHI SONO COLORO CHE GIUSTIFICANO DIO.</w:t>
      </w:r>
      <w:bookmarkEnd w:id="16"/>
      <w:bookmarkEnd w:id="17"/>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Ma ci sono alcuni che hanno compreso, perché la sapienza è stata riconosciuta giusta dai suoi figli. Luca riconnette abilmente il v. 29 al v. 35 tramite la ripresa di </w:t>
      </w:r>
      <w:proofErr w:type="spellStart"/>
      <w:r w:rsidRPr="00634B03">
        <w:rPr>
          <w:rFonts w:ascii="Times New Roman" w:hAnsi="Times New Roman" w:cs="Times New Roman"/>
          <w:i/>
          <w:sz w:val="24"/>
          <w:szCs w:val="24"/>
        </w:rPr>
        <w:t>dikaióō</w:t>
      </w:r>
      <w:proofErr w:type="spellEnd"/>
      <w:r w:rsidRPr="00634B03">
        <w:rPr>
          <w:rFonts w:ascii="Times New Roman" w:hAnsi="Times New Roman" w:cs="Times New Roman"/>
          <w:sz w:val="24"/>
          <w:szCs w:val="24"/>
        </w:rPr>
        <w:t>, che funge così da segnale redazionale d’ inclusione e nello stesso tempo fonda su un versetto proveniente da materiale tradizionale la sua interpretazione teologica. Chi sono questi figli della sapienza secondo Luca?</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Sono i pubblicani, i più peccatori tra il popolo e, insieme a loro, il popolo stesso. L’accostamento tra una figura esemplare di peccatori e un’ indicazione di totalità del popolo è una felice endiadi lucana, per la quale si deve leggere qui un unico soggetto. Si tratta non di un popolo particolare, o di una parte precisa del popolo, ma del popolo come tale, in quanto peccatore, rappresentato da coloro </w:t>
      </w:r>
      <w:r w:rsidRPr="00634B03">
        <w:rPr>
          <w:rFonts w:ascii="Times New Roman" w:hAnsi="Times New Roman" w:cs="Times New Roman"/>
          <w:sz w:val="24"/>
          <w:szCs w:val="24"/>
        </w:rPr>
        <w:lastRenderedPageBreak/>
        <w:t>che più di altri sono considerati l’emblema del peccato di Israele. Il figli della Sapienza sono allora, per Luca, nient’altro che un popolo peccatore e umile, un resto che diviene figura dell’intero popolo, attraverso un percorso di conversione e di riconoscimento della giustizia di Dio nella storia della salvezza.</w:t>
      </w:r>
    </w:p>
    <w:p w:rsidR="003D2C8B" w:rsidRDefault="003D2C8B" w:rsidP="003D2C8B">
      <w:pPr>
        <w:jc w:val="both"/>
        <w:rPr>
          <w:rFonts w:ascii="Times New Roman" w:hAnsi="Times New Roman" w:cs="Times New Roman"/>
          <w:sz w:val="24"/>
          <w:szCs w:val="24"/>
        </w:rPr>
      </w:pPr>
    </w:p>
    <w:p w:rsidR="003D2C8B"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bCs/>
          <w:iCs/>
          <w:sz w:val="24"/>
          <w:szCs w:val="24"/>
        </w:rPr>
      </w:pPr>
      <w:bookmarkStart w:id="18" w:name="_Toc313124114"/>
      <w:bookmarkStart w:id="19" w:name="_Toc313910475"/>
      <w:r w:rsidRPr="00634B03">
        <w:rPr>
          <w:rFonts w:ascii="Times New Roman" w:hAnsi="Times New Roman" w:cs="Times New Roman"/>
          <w:bCs/>
          <w:iCs/>
          <w:sz w:val="24"/>
          <w:szCs w:val="24"/>
        </w:rPr>
        <w:t>6. 5. 3 IL BATTESIMO DI CONVERSIONE.</w:t>
      </w:r>
      <w:bookmarkEnd w:id="18"/>
      <w:bookmarkEnd w:id="19"/>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Come avviene per Luca tale percorso di conversione per il popolo di Israele? Attraverso il battesimo di Giovanni che, come abbiamo visto, Luca introduce qui di proposito, ricollegandosi alla sua fonte nel punto in cui essa distingue i due eoni della storia della salvezza </w:t>
      </w:r>
      <w:r>
        <w:rPr>
          <w:rFonts w:ascii="Times New Roman" w:hAnsi="Times New Roman" w:cs="Times New Roman"/>
          <w:sz w:val="24"/>
          <w:szCs w:val="24"/>
        </w:rPr>
        <w:t>(</w:t>
      </w:r>
      <w:r w:rsidRPr="00634B03">
        <w:rPr>
          <w:rFonts w:ascii="Times New Roman" w:hAnsi="Times New Roman" w:cs="Times New Roman"/>
          <w:sz w:val="24"/>
          <w:szCs w:val="24"/>
        </w:rPr>
        <w:t>v.</w:t>
      </w:r>
      <w:r>
        <w:rPr>
          <w:rFonts w:ascii="Times New Roman" w:hAnsi="Times New Roman" w:cs="Times New Roman"/>
          <w:sz w:val="24"/>
          <w:szCs w:val="24"/>
        </w:rPr>
        <w:t xml:space="preserve"> 28</w:t>
      </w:r>
      <w:r w:rsidRPr="00634B03">
        <w:rPr>
          <w:rFonts w:ascii="Times New Roman" w:hAnsi="Times New Roman" w:cs="Times New Roman"/>
          <w:sz w:val="24"/>
          <w:szCs w:val="24"/>
        </w:rPr>
        <w:t>).  Nella concezione lucana il battesimo di Giovanni è descritto come battesimo di c</w:t>
      </w:r>
      <w:r>
        <w:rPr>
          <w:rFonts w:ascii="Times New Roman" w:hAnsi="Times New Roman" w:cs="Times New Roman"/>
          <w:sz w:val="24"/>
          <w:szCs w:val="24"/>
        </w:rPr>
        <w:t>onversione (</w:t>
      </w:r>
      <w:proofErr w:type="spellStart"/>
      <w:r w:rsidRPr="00634B03">
        <w:rPr>
          <w:rFonts w:ascii="Times New Roman" w:hAnsi="Times New Roman" w:cs="Times New Roman"/>
          <w:sz w:val="24"/>
          <w:szCs w:val="24"/>
        </w:rPr>
        <w:t>cfr.Lc</w:t>
      </w:r>
      <w:proofErr w:type="spellEnd"/>
      <w:r w:rsidRPr="00634B03">
        <w:rPr>
          <w:rFonts w:ascii="Times New Roman" w:hAnsi="Times New Roman" w:cs="Times New Roman"/>
          <w:sz w:val="24"/>
          <w:szCs w:val="24"/>
        </w:rPr>
        <w:t xml:space="preserve"> 3, 3</w:t>
      </w:r>
      <w:r>
        <w:rPr>
          <w:rFonts w:ascii="Times New Roman" w:hAnsi="Times New Roman" w:cs="Times New Roman"/>
          <w:sz w:val="24"/>
          <w:szCs w:val="24"/>
        </w:rPr>
        <w:t>; At 13, 24; At 19, 4</w:t>
      </w:r>
      <w:r w:rsidRPr="00634B03">
        <w:rPr>
          <w:rFonts w:ascii="Times New Roman" w:hAnsi="Times New Roman" w:cs="Times New Roman"/>
          <w:sz w:val="24"/>
          <w:szCs w:val="24"/>
        </w:rPr>
        <w:t>), un’espressione che Luca trova probabilmente nella</w:t>
      </w:r>
      <w:r>
        <w:rPr>
          <w:rFonts w:ascii="Times New Roman" w:hAnsi="Times New Roman" w:cs="Times New Roman"/>
          <w:sz w:val="24"/>
          <w:szCs w:val="24"/>
        </w:rPr>
        <w:t xml:space="preserve"> tradizione (cfr. anche Mc 1, 4</w:t>
      </w:r>
      <w:r w:rsidRPr="00634B03">
        <w:rPr>
          <w:rFonts w:ascii="Times New Roman" w:hAnsi="Times New Roman" w:cs="Times New Roman"/>
          <w:sz w:val="24"/>
          <w:szCs w:val="24"/>
        </w:rPr>
        <w:t xml:space="preserve">) ma che utilizza volentieri per esprimere in modo condensato il significato che egli attribuisce al ruolo del battista nella storia della salvezza. Il battesimo di Giovanni è il segno esplicito ed esteriore di un cammino di rinnovamento morale ed esistenziale che prepara all’ingresso in una nuova epoca della storia della salvezza.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La connessione lucana del verbo </w:t>
      </w:r>
      <w:proofErr w:type="spellStart"/>
      <w:r w:rsidRPr="00634B03">
        <w:rPr>
          <w:rFonts w:ascii="Times New Roman" w:hAnsi="Times New Roman" w:cs="Times New Roman"/>
          <w:i/>
          <w:sz w:val="24"/>
          <w:szCs w:val="24"/>
        </w:rPr>
        <w:t>kerýsso</w:t>
      </w:r>
      <w:proofErr w:type="spellEnd"/>
      <w:r w:rsidRPr="00634B03">
        <w:rPr>
          <w:rFonts w:ascii="Times New Roman" w:hAnsi="Times New Roman" w:cs="Times New Roman"/>
          <w:sz w:val="24"/>
          <w:szCs w:val="24"/>
        </w:rPr>
        <w:t xml:space="preserve"> (annunciare) con </w:t>
      </w:r>
      <w:proofErr w:type="spellStart"/>
      <w:r w:rsidRPr="00634B03">
        <w:rPr>
          <w:rFonts w:ascii="Times New Roman" w:hAnsi="Times New Roman" w:cs="Times New Roman"/>
          <w:i/>
          <w:sz w:val="24"/>
          <w:szCs w:val="24"/>
        </w:rPr>
        <w:t>báptisma</w:t>
      </w:r>
      <w:proofErr w:type="spellEnd"/>
      <w:r w:rsidRPr="00634B03">
        <w:rPr>
          <w:rFonts w:ascii="Times New Roman" w:hAnsi="Times New Roman" w:cs="Times New Roman"/>
          <w:i/>
          <w:sz w:val="24"/>
          <w:szCs w:val="24"/>
        </w:rPr>
        <w:t xml:space="preserve"> </w:t>
      </w:r>
      <w:r w:rsidRPr="00634B03">
        <w:rPr>
          <w:rFonts w:ascii="Times New Roman" w:hAnsi="Times New Roman" w:cs="Times New Roman"/>
          <w:sz w:val="24"/>
          <w:szCs w:val="24"/>
        </w:rPr>
        <w:t xml:space="preserve">(battesimo) come complemento oggetto (cfr. Lc  3, 3; Atti 10, 37 )  mostra che il battesimo è il segno che qualifica nel suo insieme una più ampia missione di predicazione, volta a chiamare il popolo a penitenza. Infatti il battesimo di Giovanni non può essere considerato solo dal punto di vista cultuale, ma deve essere accompagnato da “frutti di conversione”       ( cfr. 3, 8 – 9 ) che mostrino un coinvolgimento concreto ed esistenziale della persona   ( cfr. 3, 10 – 14 ). Qual è la finalità di questo battesimo di conversione nella storia della salvezza? Porsi a cavallo tra due eoni, per preparare l’ingresso nella storia di colui che viene, ossia Gesù. In effetti in Atti il battesimo di Giovanni viene usato per datare l’inizio del ministero storico di Gesù ( cfr. Atti 1, 22; 10, 37 ).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 In particolare in At 19, 4 questo battesimo di conversione è chiaramente finalizzato alla fede in colui che viene, Gesù, e non può sostituire il battesimo cristiano, nel nome del Signore Gesù, il quale comporta il dono dello Spirito ( cfr.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5 – 6 ) e caratterizza l’ingresso nel nuovo eone della storia della salvezza. </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bCs/>
          <w:sz w:val="24"/>
          <w:szCs w:val="24"/>
        </w:rPr>
      </w:pPr>
      <w:bookmarkStart w:id="20" w:name="_Toc313124116"/>
      <w:bookmarkStart w:id="21" w:name="_Toc313910477"/>
      <w:r w:rsidRPr="00634B03">
        <w:rPr>
          <w:rFonts w:ascii="Times New Roman" w:hAnsi="Times New Roman" w:cs="Times New Roman"/>
          <w:bCs/>
          <w:sz w:val="24"/>
          <w:szCs w:val="24"/>
        </w:rPr>
        <w:t>6. 6.  QUALCHE CONSIDERAZIONE SU Lc 7, 36 - 50.</w:t>
      </w:r>
      <w:bookmarkEnd w:id="20"/>
      <w:bookmarkEnd w:id="21"/>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Dopo aver mostrato l’interesse teologico e letterario di Luca nel rielaborare il materiale che gli è pervenuto, in particolare nei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29 – 30, alla luce della pericope (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24 -30 ), può essere utile ampliare un po’ il campo di indagine e, mostrando le connessioni di quanto abbiamo scoperto con il contesto prossimo della pericope, illuminare ulteriormente l’interesse teologico di Luca.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lastRenderedPageBreak/>
        <w:t xml:space="preserve">La maggioranza dei commentatori sono d’accordo nell’individuare un rapporto tra la sezione su Giovanni il Battista (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18- 35 ) e il seguente episodio della donna peccatrice (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36 – 50 ). Infatti la menzione del fariseo Simone ( v. 36 ) richiama la precedente menzione dei farisei e dottori della legge ( v. 30 ), il contesto del pranzo richiama le aggettivazioni poste nei confronti di Gesù (mangione e beone v. 34), e Gesù stesso, definito amico dei peccatori e dei pubblicani (v. 34), si mostra amico, in particolare, di una donna peccatrice (v. 37) </w:t>
      </w:r>
      <w:r w:rsidRPr="00634B03">
        <w:rPr>
          <w:rFonts w:ascii="Times New Roman" w:hAnsi="Times New Roman" w:cs="Times New Roman"/>
          <w:sz w:val="24"/>
          <w:szCs w:val="24"/>
          <w:vertAlign w:val="superscript"/>
        </w:rPr>
        <w:footnoteReference w:id="13"/>
      </w:r>
      <w:r w:rsidRPr="00634B03">
        <w:rPr>
          <w:rFonts w:ascii="Times New Roman" w:hAnsi="Times New Roman" w:cs="Times New Roman"/>
          <w:sz w:val="24"/>
          <w:szCs w:val="24"/>
        </w:rPr>
        <w:t>. Inoltre ciò che Gesù dice a proposito dei farisei e dottori della legge, in contrasto con il popolo dei peccatori (v. 29 – 30), Luca sembra mostrarlo in atto attraverso il comportamento del fariseo Simone e della donna peccatrice nei confronti di Gesù.</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Aver chiarificato quale interesse di Luca motiva il suo lavoro redazionale ai v. 29 – 30 aiuta a comprendere non solo la sezione su Giovanni il Battista ma anche l’episodio della donna peccatrice e del fariseo Simone. Quella divisione all’interno del popolo che si stabilisce tra i notabili che hanno annullato la volontà di Dio su di loro rifiutando il battesimo di Giovanni e il popolo dei peccatori che hanno riconosciuto la giustizia di Dio viene qui riproposta nel contrasto tra il fariseo Simone e la donna peccatrice.</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Infatti i gesti d’amore della donna e il suo pianto segnalano una conversione di questa donna dalla sua storia di peccato e una comprensione profonda del disegno amoroso di Dio che si compie in Gesù. Viceversa l’atteggiamento di giudizio nei confronti della donna e di sospetto nei confronti della qualità profetica del ministero di Gesù da parte di Simone, mostrano quanto egli sia ancora lontano dall’entrare in quell’ora della salvezza che Gesù ha ormai inaugurato.</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L’intervento redazionale in 29 – 30 sembra allora attuato da Luca non solo per riferire l’accusa profetica seguente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31 – 35) ai farisei e ai notabili del popolo, ma anche in vista dell’episodio che sta per narrare dopo aver terminato la sezione su Giovanni il Battista. È possibile ottenere una conferma di carattere narrativo a questa affermazione, basata non solo su alcuni richiami terminologici e di contenuto? Occorre anzitutto osservare che, </w:t>
      </w:r>
      <w:proofErr w:type="spellStart"/>
      <w:r w:rsidRPr="00634B03">
        <w:rPr>
          <w:rFonts w:ascii="Times New Roman" w:hAnsi="Times New Roman" w:cs="Times New Roman"/>
          <w:sz w:val="24"/>
          <w:szCs w:val="24"/>
        </w:rPr>
        <w:t>poichè</w:t>
      </w:r>
      <w:proofErr w:type="spellEnd"/>
      <w:r w:rsidRPr="00634B03">
        <w:rPr>
          <w:rFonts w:ascii="Times New Roman" w:hAnsi="Times New Roman" w:cs="Times New Roman"/>
          <w:sz w:val="24"/>
          <w:szCs w:val="24"/>
        </w:rPr>
        <w:t xml:space="preserve"> Luca non fa conoscere al lettore la risposta definitiva del fariseo Simone all’accusa di Gesù, il suo interesse narrativo è di provocare la risposta personale del lettore, suggerendogli di identificarsi con Simone. L’evangelista rivolge l’accusa profetica di Gesù non tanto al gruppo dei farisei storici - come invece accade in Matteo, per esempio con la parabola dei due figli e il </w:t>
      </w:r>
      <w:proofErr w:type="spellStart"/>
      <w:r w:rsidRPr="00634B03">
        <w:rPr>
          <w:rFonts w:ascii="Times New Roman" w:hAnsi="Times New Roman" w:cs="Times New Roman"/>
          <w:sz w:val="24"/>
          <w:szCs w:val="24"/>
        </w:rPr>
        <w:t>loghion</w:t>
      </w:r>
      <w:proofErr w:type="spellEnd"/>
      <w:r w:rsidRPr="00634B03">
        <w:rPr>
          <w:rFonts w:ascii="Times New Roman" w:hAnsi="Times New Roman" w:cs="Times New Roman"/>
          <w:sz w:val="24"/>
          <w:szCs w:val="24"/>
        </w:rPr>
        <w:t xml:space="preserve"> che abbiamo esaminat</w:t>
      </w:r>
      <w:r>
        <w:rPr>
          <w:rFonts w:ascii="Times New Roman" w:hAnsi="Times New Roman" w:cs="Times New Roman"/>
          <w:sz w:val="24"/>
          <w:szCs w:val="24"/>
        </w:rPr>
        <w:t>o precedentemente (Mt 21, 31</w:t>
      </w:r>
      <w:r w:rsidRPr="00634B03">
        <w:rPr>
          <w:rFonts w:ascii="Times New Roman" w:hAnsi="Times New Roman" w:cs="Times New Roman"/>
          <w:sz w:val="24"/>
          <w:szCs w:val="24"/>
        </w:rPr>
        <w:t>)</w:t>
      </w:r>
      <w:r w:rsidRPr="00634B03">
        <w:rPr>
          <w:rFonts w:ascii="Times New Roman" w:hAnsi="Times New Roman" w:cs="Times New Roman"/>
          <w:sz w:val="24"/>
          <w:szCs w:val="24"/>
          <w:vertAlign w:val="superscript"/>
        </w:rPr>
        <w:footnoteReference w:id="14"/>
      </w:r>
      <w:r w:rsidRPr="00634B03">
        <w:rPr>
          <w:rFonts w:ascii="Times New Roman" w:hAnsi="Times New Roman" w:cs="Times New Roman"/>
          <w:sz w:val="24"/>
          <w:szCs w:val="24"/>
        </w:rPr>
        <w:t xml:space="preserve"> – ma al lettore stesso.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Ciò è di fondamentale importanza per capire l’interesse narrativo di Luca che, dopo aver spiegato le condizioni di accesso al nuovo eone del Regno di Dio attraverso la figura di Giovanni Battista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29 – 30), vuole concretamente mostrare al suo lettore, che non ha mai conosciuto Giovanni Battista né ricevuto il suo battesimo, come tali condizioni si verificano per lui, nella sua vita.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lastRenderedPageBreak/>
        <w:t xml:space="preserve">Questo è il motivo per cui 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29 – 30 vanno letti come un’anticipazione in termini esplicativi   (</w:t>
      </w:r>
      <w:proofErr w:type="spellStart"/>
      <w:r w:rsidRPr="00634B03">
        <w:rPr>
          <w:rFonts w:ascii="Times New Roman" w:hAnsi="Times New Roman" w:cs="Times New Roman"/>
          <w:i/>
          <w:sz w:val="24"/>
          <w:szCs w:val="24"/>
        </w:rPr>
        <w:t>telling</w:t>
      </w:r>
      <w:proofErr w:type="spellEnd"/>
      <w:r w:rsidRPr="00634B03">
        <w:rPr>
          <w:rFonts w:ascii="Times New Roman" w:hAnsi="Times New Roman" w:cs="Times New Roman"/>
          <w:sz w:val="24"/>
          <w:szCs w:val="24"/>
        </w:rPr>
        <w:t>) di ciò che l’evangelista mostrerà al suo lettore (</w:t>
      </w:r>
      <w:proofErr w:type="spellStart"/>
      <w:r w:rsidRPr="00634B03">
        <w:rPr>
          <w:rFonts w:ascii="Times New Roman" w:hAnsi="Times New Roman" w:cs="Times New Roman"/>
          <w:i/>
          <w:sz w:val="24"/>
          <w:szCs w:val="24"/>
        </w:rPr>
        <w:t>showing</w:t>
      </w:r>
      <w:proofErr w:type="spellEnd"/>
      <w:r w:rsidRPr="00634B03">
        <w:rPr>
          <w:rFonts w:ascii="Times New Roman" w:hAnsi="Times New Roman" w:cs="Times New Roman"/>
          <w:sz w:val="24"/>
          <w:szCs w:val="24"/>
        </w:rPr>
        <w:t xml:space="preserve">) per sollecitarne una risposta di fede.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Che valore ha per la fede del lettore di Luca sapere che i farisei hanno annullato per loro la volontà di Dio rifiutando il battesimo di Giovanni? L’evangelista lo mostra nell’episodio seguente, dove il lettore non è richiamato ad attuare qualche pratica cultuale di tipo penitenziale come il battesimo di Giovanni, ma piuttosto a riconoscere il proprio peccato di fronte all’amore e alla giustizia di Dio che si compiono in Gesù. Luca intende attualizzare per il suo lettore il rischio spirituale che avevano corso i notabili di Israele al tempo del ministero terreno di Giovanni il Battista:  ossia il rischio che corre colui che, pensando di non avere grandi peccati e ritenendosi in fondo giusto, ama poco, ed è quindi incapace di entrare in un vero percorso di conversione e di maturazione nell’amore di Dio. Luca, come aveva fatto Giovanni il Battista per i suoi uditori, propone al suo lettore un percorso di conversione, di carattere penitenziale, che comporta simultaneamente il riconoscimento del proprio peccato e della giustizia del piano amoroso di Dio nella propria storia. Come si è già sottolineato, si tratta quindi di un percorso attivo ed esistenziale, che mette in gioco i pensieri e le azioni dell’uomo e che non si contrappone alla grazia di Dio, ma anzi è reso possibile da essa. È il percorso mostrato in modo esemplare dagli atti di pentimento e di amore della donna peccatrice nei confronti di Gesù</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Questa considerazione può essere utile per risolvere il vero problema interpretativo di questo episodio, ossia l’opposizione di significato che si registra tra la parabola dei due debitori raccontata da Gesù e la sua applicazione alla donna. Se nella parabola i debitori amano nella misura del debito che è stato loro condonato, invece alla donna sono stati perdonati i peccati perché ha molto amato. Questa tensione viene spiegata da molti come il segno della </w:t>
      </w:r>
      <w:proofErr w:type="spellStart"/>
      <w:r w:rsidRPr="00634B03">
        <w:rPr>
          <w:rFonts w:ascii="Times New Roman" w:hAnsi="Times New Roman" w:cs="Times New Roman"/>
          <w:sz w:val="24"/>
          <w:szCs w:val="24"/>
        </w:rPr>
        <w:t>redazionalità</w:t>
      </w:r>
      <w:proofErr w:type="spellEnd"/>
      <w:r w:rsidRPr="00634B03">
        <w:rPr>
          <w:rFonts w:ascii="Times New Roman" w:hAnsi="Times New Roman" w:cs="Times New Roman"/>
          <w:sz w:val="24"/>
          <w:szCs w:val="24"/>
        </w:rPr>
        <w:t xml:space="preserve"> della composizione. Luca avrebbe inserito una parabola tradizionale in un racconto altrettanto tradizionale, quello dell’unzione di Gesù da parte della donna. Così il gesto d’amore della donna, che fa parte della tradizione più originaria a cui Luca attinge, viene integrato da una parabola, attinta anch’essa da una tradizione precedente, con uno scopo catechetico, ossia per mostrare il rapporto tra perdono di Dio ed etica. Nella sua rielaborazione Luca mantiene questa tensione tra le due tappe redazionali, che si può cogliere per il contrasto tra il versetto 47a e 47b.</w:t>
      </w:r>
      <w:r w:rsidRPr="00634B03">
        <w:rPr>
          <w:rFonts w:ascii="Times New Roman" w:hAnsi="Times New Roman" w:cs="Times New Roman"/>
          <w:sz w:val="24"/>
          <w:szCs w:val="24"/>
          <w:vertAlign w:val="superscript"/>
        </w:rPr>
        <w:footnoteReference w:id="15"/>
      </w:r>
      <w:r w:rsidRPr="00634B03">
        <w:rPr>
          <w:rFonts w:ascii="Times New Roman" w:hAnsi="Times New Roman" w:cs="Times New Roman"/>
          <w:sz w:val="24"/>
          <w:szCs w:val="24"/>
        </w:rPr>
        <w:t xml:space="preserve"> Questa considerazione, tuttavia, lascia intatto il problema esegetico. Ci sono due possibilità: o Luca è un pessimo scrittore, perché lascia una contraddizione palese nella sua attività redazionale, oppure egli vuole mantenere tale tensione di significato, perché in essa è nascosto il significato profondo del suo messaggio. Se la seconda possibilità è quella giusta, come provarlo, e quale significato Luca vorrebbe veicolare al lettore? </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Abbiamo appena mostrato come i versetti 29 - 30 giochino un ruolo essenziale per comprendere l’intenzione di Luca in questo racconto della donna peccatrice e del fariseo Simone e possono </w:t>
      </w:r>
      <w:r w:rsidRPr="00634B03">
        <w:rPr>
          <w:rFonts w:ascii="Times New Roman" w:hAnsi="Times New Roman" w:cs="Times New Roman"/>
          <w:sz w:val="24"/>
          <w:szCs w:val="24"/>
        </w:rPr>
        <w:lastRenderedPageBreak/>
        <w:t xml:space="preserve">fornire una chiave interpretativa del messaggio che Luca intende comunicare al lettore. Il comportamento della donna e di Simone attualizzano per il lettore ciò che è stato spiegato nei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29 - 30 a proposito del popolo e dei pubblicani da una parte e dei farisei e dottori della legge dall’altra, perché il lettore possa comprendere quali sono nella sua vita, le condizioni concrete per entrare nella salvezza.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Ora il lettore di Luca ha di fronte a se due possibilità, la donna peccatrice e il fariseo Simone.</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 La donna è colei che ha molto amato, ossia che ha fatto della sua miseria e del suo pubblico peccato il luogo antropologico in cui riconoscere la propria debolezza e insieme la grazia e l’amore di Dio e così ha reso attivo per lei quel perdono di Dio che è il frutto del disegno d’amore di Dio per ogni uomo. Così il perdono di Dio è chiaramente incondizionato e gratuito ed è fonte della risposta d’amore della donna in rapporto a quella di Simone (“a chi è perdonato poco, ama poco” 47b). Tuttavia nella stesso tempo dipende dall’uomo accogliere tale perdono e renderlo attivo nella propria vita (“le sono rimessi i suoi molti peccati, perché ha molto amato”, 47a). Ella con la sua vita ha “giustificato” Dio, mostrando di essere una vera figli della Sapienza ed entrando così a pieno diritto nel nuovo eone del Regno di Dio che si compie in Gesù.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Egli mostra in questo racconto ciò che ha già spiegato a riguardo del popolo peccatore e dei farisei e dottori della legge nei </w:t>
      </w:r>
      <w:proofErr w:type="spellStart"/>
      <w:r w:rsidRPr="00634B03">
        <w:rPr>
          <w:rFonts w:ascii="Times New Roman" w:hAnsi="Times New Roman" w:cs="Times New Roman"/>
          <w:sz w:val="24"/>
          <w:szCs w:val="24"/>
        </w:rPr>
        <w:t>vv</w:t>
      </w:r>
      <w:proofErr w:type="spellEnd"/>
      <w:r w:rsidRPr="00634B03">
        <w:rPr>
          <w:rFonts w:ascii="Times New Roman" w:hAnsi="Times New Roman" w:cs="Times New Roman"/>
          <w:sz w:val="24"/>
          <w:szCs w:val="24"/>
        </w:rPr>
        <w:t xml:space="preserve">. 29 – 30: tutto dipende dalla volontà di Dio che vuole essere giustificato dagli uomini e tutto allo stesso tempo dipende dalla libertà dell’uomo di accogliere o meno tale volontà. </w:t>
      </w: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sz w:val="24"/>
          <w:szCs w:val="24"/>
        </w:rPr>
      </w:pPr>
    </w:p>
    <w:p w:rsidR="003D2C8B" w:rsidRPr="00634B03" w:rsidRDefault="003D2C8B" w:rsidP="003D2C8B">
      <w:pPr>
        <w:jc w:val="both"/>
        <w:rPr>
          <w:rFonts w:ascii="Times New Roman" w:hAnsi="Times New Roman" w:cs="Times New Roman"/>
          <w:b/>
          <w:bCs/>
          <w:sz w:val="24"/>
          <w:szCs w:val="24"/>
        </w:rPr>
      </w:pPr>
      <w:bookmarkStart w:id="22" w:name="_Toc313910478"/>
      <w:r w:rsidRPr="00634B03">
        <w:rPr>
          <w:rFonts w:ascii="Times New Roman" w:hAnsi="Times New Roman" w:cs="Times New Roman"/>
          <w:b/>
          <w:bCs/>
          <w:sz w:val="24"/>
          <w:szCs w:val="24"/>
        </w:rPr>
        <w:t>7. BIBLIOGRAFIA CITATA.</w:t>
      </w:r>
      <w:bookmarkEnd w:id="22"/>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BOCK, D. L., </w:t>
      </w:r>
      <w:r w:rsidRPr="00634B03">
        <w:rPr>
          <w:rFonts w:ascii="Times New Roman" w:hAnsi="Times New Roman" w:cs="Times New Roman"/>
          <w:i/>
          <w:iCs/>
          <w:sz w:val="24"/>
          <w:szCs w:val="24"/>
        </w:rPr>
        <w:t>Luke,</w:t>
      </w:r>
      <w:r w:rsidRPr="00634B03">
        <w:rPr>
          <w:rFonts w:ascii="Times New Roman" w:hAnsi="Times New Roman" w:cs="Times New Roman"/>
          <w:sz w:val="24"/>
          <w:szCs w:val="24"/>
        </w:rPr>
        <w:t xml:space="preserve"> ( </w:t>
      </w:r>
      <w:proofErr w:type="spellStart"/>
      <w:r w:rsidRPr="00634B03">
        <w:rPr>
          <w:rFonts w:ascii="Times New Roman" w:hAnsi="Times New Roman" w:cs="Times New Roman"/>
          <w:sz w:val="24"/>
          <w:szCs w:val="24"/>
        </w:rPr>
        <w:t>Grand</w:t>
      </w:r>
      <w:proofErr w:type="spellEnd"/>
      <w:r w:rsidRPr="00634B03">
        <w:rPr>
          <w:rFonts w:ascii="Times New Roman" w:hAnsi="Times New Roman" w:cs="Times New Roman"/>
          <w:sz w:val="24"/>
          <w:szCs w:val="24"/>
        </w:rPr>
        <w:t xml:space="preserve"> Rapids NIV Application </w:t>
      </w:r>
      <w:proofErr w:type="spellStart"/>
      <w:r w:rsidRPr="00634B03">
        <w:rPr>
          <w:rFonts w:ascii="Times New Roman" w:hAnsi="Times New Roman" w:cs="Times New Roman"/>
          <w:sz w:val="24"/>
          <w:szCs w:val="24"/>
        </w:rPr>
        <w:t>Commentary</w:t>
      </w:r>
      <w:proofErr w:type="spellEnd"/>
      <w:r w:rsidRPr="00634B03">
        <w:rPr>
          <w:rFonts w:ascii="Times New Roman" w:hAnsi="Times New Roman" w:cs="Times New Roman"/>
          <w:sz w:val="24"/>
          <w:szCs w:val="24"/>
        </w:rPr>
        <w:t>, 1996 ).</w:t>
      </w:r>
    </w:p>
    <w:p w:rsidR="003D2C8B" w:rsidRPr="00634B03" w:rsidRDefault="003D2C8B" w:rsidP="003D2C8B">
      <w:pPr>
        <w:jc w:val="both"/>
        <w:rPr>
          <w:rFonts w:ascii="Times New Roman" w:hAnsi="Times New Roman" w:cs="Times New Roman"/>
          <w:sz w:val="24"/>
          <w:szCs w:val="24"/>
          <w:lang w:val="en-US"/>
        </w:rPr>
      </w:pPr>
      <w:r w:rsidRPr="00634B03">
        <w:rPr>
          <w:rFonts w:ascii="Times New Roman" w:hAnsi="Times New Roman" w:cs="Times New Roman"/>
          <w:sz w:val="24"/>
          <w:szCs w:val="24"/>
          <w:lang w:val="en-US"/>
        </w:rPr>
        <w:t xml:space="preserve">BOVON, F.,  </w:t>
      </w:r>
      <w:r w:rsidRPr="00634B03">
        <w:rPr>
          <w:rFonts w:ascii="Times New Roman" w:hAnsi="Times New Roman" w:cs="Times New Roman"/>
          <w:i/>
          <w:iCs/>
          <w:sz w:val="24"/>
          <w:szCs w:val="24"/>
          <w:lang w:val="en-US"/>
        </w:rPr>
        <w:t xml:space="preserve">Das </w:t>
      </w:r>
      <w:proofErr w:type="spellStart"/>
      <w:r w:rsidRPr="00634B03">
        <w:rPr>
          <w:rFonts w:ascii="Times New Roman" w:hAnsi="Times New Roman" w:cs="Times New Roman"/>
          <w:i/>
          <w:iCs/>
          <w:sz w:val="24"/>
          <w:szCs w:val="24"/>
          <w:lang w:val="en-US"/>
        </w:rPr>
        <w:t>Evangelium</w:t>
      </w:r>
      <w:proofErr w:type="spellEnd"/>
      <w:r w:rsidRPr="00634B03">
        <w:rPr>
          <w:rFonts w:ascii="Times New Roman" w:hAnsi="Times New Roman" w:cs="Times New Roman"/>
          <w:i/>
          <w:iCs/>
          <w:sz w:val="24"/>
          <w:szCs w:val="24"/>
          <w:lang w:val="en-US"/>
        </w:rPr>
        <w:t xml:space="preserve"> </w:t>
      </w:r>
      <w:proofErr w:type="spellStart"/>
      <w:r w:rsidRPr="00634B03">
        <w:rPr>
          <w:rFonts w:ascii="Times New Roman" w:hAnsi="Times New Roman" w:cs="Times New Roman"/>
          <w:i/>
          <w:iCs/>
          <w:sz w:val="24"/>
          <w:szCs w:val="24"/>
          <w:lang w:val="en-US"/>
        </w:rPr>
        <w:t>nach</w:t>
      </w:r>
      <w:proofErr w:type="spellEnd"/>
      <w:r w:rsidRPr="00634B03">
        <w:rPr>
          <w:rFonts w:ascii="Times New Roman" w:hAnsi="Times New Roman" w:cs="Times New Roman"/>
          <w:i/>
          <w:iCs/>
          <w:sz w:val="24"/>
          <w:szCs w:val="24"/>
          <w:lang w:val="en-US"/>
        </w:rPr>
        <w:t xml:space="preserve"> Lukas</w:t>
      </w:r>
      <w:r w:rsidRPr="00634B03">
        <w:rPr>
          <w:rFonts w:ascii="Times New Roman" w:hAnsi="Times New Roman" w:cs="Times New Roman"/>
          <w:sz w:val="24"/>
          <w:szCs w:val="24"/>
          <w:lang w:val="en-US"/>
        </w:rPr>
        <w:t xml:space="preserve"> ( </w:t>
      </w:r>
      <w:proofErr w:type="spellStart"/>
      <w:r w:rsidRPr="00634B03">
        <w:rPr>
          <w:rFonts w:ascii="Times New Roman" w:hAnsi="Times New Roman" w:cs="Times New Roman"/>
          <w:sz w:val="24"/>
          <w:szCs w:val="24"/>
          <w:lang w:val="en-US"/>
        </w:rPr>
        <w:t>Neukirchen</w:t>
      </w:r>
      <w:proofErr w:type="spellEnd"/>
      <w:r w:rsidRPr="00634B03">
        <w:rPr>
          <w:rFonts w:ascii="Times New Roman" w:hAnsi="Times New Roman" w:cs="Times New Roman"/>
          <w:sz w:val="24"/>
          <w:szCs w:val="24"/>
          <w:lang w:val="en-US"/>
        </w:rPr>
        <w:t xml:space="preserve"> –</w:t>
      </w:r>
      <w:proofErr w:type="spellStart"/>
      <w:r w:rsidRPr="00634B03">
        <w:rPr>
          <w:rFonts w:ascii="Times New Roman" w:hAnsi="Times New Roman" w:cs="Times New Roman"/>
          <w:sz w:val="24"/>
          <w:szCs w:val="24"/>
          <w:lang w:val="en-US"/>
        </w:rPr>
        <w:t>Vluyn</w:t>
      </w:r>
      <w:proofErr w:type="spellEnd"/>
      <w:r w:rsidRPr="00634B03">
        <w:rPr>
          <w:rFonts w:ascii="Times New Roman" w:hAnsi="Times New Roman" w:cs="Times New Roman"/>
          <w:sz w:val="24"/>
          <w:szCs w:val="24"/>
          <w:lang w:val="en-US"/>
        </w:rPr>
        <w:t xml:space="preserve"> 1989 ), I - II.</w:t>
      </w:r>
    </w:p>
    <w:p w:rsidR="003D2C8B" w:rsidRPr="00634B03" w:rsidRDefault="003D2C8B" w:rsidP="003D2C8B">
      <w:pPr>
        <w:jc w:val="both"/>
        <w:rPr>
          <w:rFonts w:ascii="Times New Roman" w:hAnsi="Times New Roman" w:cs="Times New Roman"/>
          <w:sz w:val="24"/>
          <w:szCs w:val="24"/>
          <w:lang w:val="en-US"/>
        </w:rPr>
      </w:pPr>
      <w:r w:rsidRPr="00634B03">
        <w:rPr>
          <w:rFonts w:ascii="Times New Roman" w:hAnsi="Times New Roman" w:cs="Times New Roman"/>
          <w:sz w:val="24"/>
          <w:szCs w:val="24"/>
          <w:lang w:val="en-US"/>
        </w:rPr>
        <w:t xml:space="preserve">FITZMYER, J., </w:t>
      </w:r>
      <w:r w:rsidRPr="00634B03">
        <w:rPr>
          <w:rFonts w:ascii="Times New Roman" w:hAnsi="Times New Roman" w:cs="Times New Roman"/>
          <w:i/>
          <w:iCs/>
          <w:sz w:val="24"/>
          <w:szCs w:val="24"/>
          <w:lang w:val="en-US"/>
        </w:rPr>
        <w:t>The Gospel according to Luke</w:t>
      </w:r>
      <w:r w:rsidRPr="00634B03">
        <w:rPr>
          <w:rFonts w:ascii="Times New Roman" w:hAnsi="Times New Roman" w:cs="Times New Roman"/>
          <w:sz w:val="24"/>
          <w:szCs w:val="24"/>
          <w:lang w:val="en-US"/>
        </w:rPr>
        <w:t>, ( Garden City 1981.85).</w:t>
      </w:r>
    </w:p>
    <w:p w:rsidR="003D2C8B" w:rsidRPr="00634B03" w:rsidRDefault="003D2C8B" w:rsidP="003D2C8B">
      <w:pPr>
        <w:jc w:val="both"/>
        <w:rPr>
          <w:rFonts w:ascii="Times New Roman" w:hAnsi="Times New Roman" w:cs="Times New Roman"/>
          <w:sz w:val="24"/>
          <w:szCs w:val="24"/>
          <w:lang w:val="en-US"/>
        </w:rPr>
      </w:pPr>
      <w:r w:rsidRPr="00634B03">
        <w:rPr>
          <w:rFonts w:ascii="Times New Roman" w:hAnsi="Times New Roman" w:cs="Times New Roman"/>
          <w:sz w:val="24"/>
          <w:szCs w:val="24"/>
          <w:lang w:val="en-US"/>
        </w:rPr>
        <w:t xml:space="preserve">GREEN, J. B., </w:t>
      </w:r>
      <w:r w:rsidRPr="00634B03">
        <w:rPr>
          <w:rFonts w:ascii="Times New Roman" w:hAnsi="Times New Roman" w:cs="Times New Roman"/>
          <w:i/>
          <w:iCs/>
          <w:sz w:val="24"/>
          <w:szCs w:val="24"/>
          <w:lang w:val="en-US"/>
        </w:rPr>
        <w:t>The Gospel of Luke</w:t>
      </w:r>
      <w:r w:rsidRPr="00634B03">
        <w:rPr>
          <w:rFonts w:ascii="Times New Roman" w:hAnsi="Times New Roman" w:cs="Times New Roman"/>
          <w:sz w:val="24"/>
          <w:szCs w:val="24"/>
          <w:lang w:val="en-US"/>
        </w:rPr>
        <w:t xml:space="preserve"> ( Grand Rapids 1997 ).</w:t>
      </w:r>
    </w:p>
    <w:p w:rsidR="003D2C8B" w:rsidRPr="00634B03" w:rsidRDefault="003D2C8B" w:rsidP="003D2C8B">
      <w:pPr>
        <w:jc w:val="both"/>
        <w:rPr>
          <w:rFonts w:ascii="Times New Roman" w:hAnsi="Times New Roman" w:cs="Times New Roman"/>
          <w:sz w:val="24"/>
          <w:szCs w:val="24"/>
          <w:lang w:val="en-US"/>
        </w:rPr>
      </w:pPr>
      <w:r w:rsidRPr="00634B03">
        <w:rPr>
          <w:rFonts w:ascii="Times New Roman" w:hAnsi="Times New Roman" w:cs="Times New Roman"/>
          <w:sz w:val="24"/>
          <w:szCs w:val="24"/>
          <w:lang w:val="en-US"/>
        </w:rPr>
        <w:t xml:space="preserve">JEREMIAS, J.,  </w:t>
      </w:r>
      <w:r w:rsidRPr="00634B03">
        <w:rPr>
          <w:rFonts w:ascii="Times New Roman" w:hAnsi="Times New Roman" w:cs="Times New Roman"/>
          <w:i/>
          <w:iCs/>
          <w:sz w:val="24"/>
          <w:szCs w:val="24"/>
          <w:lang w:val="en-US"/>
        </w:rPr>
        <w:t xml:space="preserve">Die </w:t>
      </w:r>
      <w:proofErr w:type="spellStart"/>
      <w:r w:rsidRPr="00634B03">
        <w:rPr>
          <w:rFonts w:ascii="Times New Roman" w:hAnsi="Times New Roman" w:cs="Times New Roman"/>
          <w:i/>
          <w:iCs/>
          <w:sz w:val="24"/>
          <w:szCs w:val="24"/>
          <w:lang w:val="en-US"/>
        </w:rPr>
        <w:t>Gleichnisse</w:t>
      </w:r>
      <w:proofErr w:type="spellEnd"/>
      <w:r w:rsidRPr="00634B03">
        <w:rPr>
          <w:rFonts w:ascii="Times New Roman" w:hAnsi="Times New Roman" w:cs="Times New Roman"/>
          <w:i/>
          <w:iCs/>
          <w:sz w:val="24"/>
          <w:szCs w:val="24"/>
          <w:lang w:val="en-US"/>
        </w:rPr>
        <w:t xml:space="preserve"> </w:t>
      </w:r>
      <w:proofErr w:type="spellStart"/>
      <w:r w:rsidRPr="00634B03">
        <w:rPr>
          <w:rFonts w:ascii="Times New Roman" w:hAnsi="Times New Roman" w:cs="Times New Roman"/>
          <w:i/>
          <w:iCs/>
          <w:sz w:val="24"/>
          <w:szCs w:val="24"/>
          <w:lang w:val="en-US"/>
        </w:rPr>
        <w:t>Jesu</w:t>
      </w:r>
      <w:proofErr w:type="spellEnd"/>
      <w:r w:rsidRPr="00634B03">
        <w:rPr>
          <w:rFonts w:ascii="Times New Roman" w:hAnsi="Times New Roman" w:cs="Times New Roman"/>
          <w:sz w:val="24"/>
          <w:szCs w:val="24"/>
          <w:lang w:val="en-US"/>
        </w:rPr>
        <w:t xml:space="preserve"> ( </w:t>
      </w:r>
      <w:proofErr w:type="spellStart"/>
      <w:r w:rsidRPr="00634B03">
        <w:rPr>
          <w:rFonts w:ascii="Times New Roman" w:hAnsi="Times New Roman" w:cs="Times New Roman"/>
          <w:sz w:val="24"/>
          <w:szCs w:val="24"/>
          <w:lang w:val="en-US"/>
        </w:rPr>
        <w:t>Göttingen</w:t>
      </w:r>
      <w:proofErr w:type="spellEnd"/>
      <w:r w:rsidRPr="00634B03">
        <w:rPr>
          <w:rFonts w:ascii="Times New Roman" w:hAnsi="Times New Roman" w:cs="Times New Roman"/>
          <w:sz w:val="24"/>
          <w:szCs w:val="24"/>
          <w:lang w:val="en-US"/>
        </w:rPr>
        <w:t xml:space="preserve"> 1952 ).</w:t>
      </w:r>
    </w:p>
    <w:p w:rsidR="003D2C8B" w:rsidRPr="00634B03" w:rsidRDefault="003D2C8B" w:rsidP="003D2C8B">
      <w:pPr>
        <w:jc w:val="both"/>
        <w:rPr>
          <w:rFonts w:ascii="Times New Roman" w:hAnsi="Times New Roman" w:cs="Times New Roman"/>
          <w:sz w:val="24"/>
          <w:szCs w:val="24"/>
          <w:lang w:val="en-US"/>
        </w:rPr>
      </w:pPr>
      <w:r w:rsidRPr="00634B03">
        <w:rPr>
          <w:rFonts w:ascii="Times New Roman" w:hAnsi="Times New Roman" w:cs="Times New Roman"/>
          <w:sz w:val="24"/>
          <w:szCs w:val="24"/>
          <w:lang w:val="en-US"/>
        </w:rPr>
        <w:t xml:space="preserve">JEREMIAS, J., </w:t>
      </w:r>
      <w:r w:rsidRPr="00634B03">
        <w:rPr>
          <w:rFonts w:ascii="Times New Roman" w:hAnsi="Times New Roman" w:cs="Times New Roman"/>
          <w:i/>
          <w:iCs/>
          <w:sz w:val="24"/>
          <w:szCs w:val="24"/>
          <w:lang w:val="en-US"/>
        </w:rPr>
        <w:t xml:space="preserve">die </w:t>
      </w:r>
      <w:proofErr w:type="spellStart"/>
      <w:r w:rsidRPr="00634B03">
        <w:rPr>
          <w:rFonts w:ascii="Times New Roman" w:hAnsi="Times New Roman" w:cs="Times New Roman"/>
          <w:i/>
          <w:iCs/>
          <w:sz w:val="24"/>
          <w:szCs w:val="24"/>
          <w:lang w:val="en-US"/>
        </w:rPr>
        <w:t>Sprache</w:t>
      </w:r>
      <w:proofErr w:type="spellEnd"/>
      <w:r w:rsidRPr="00634B03">
        <w:rPr>
          <w:rFonts w:ascii="Times New Roman" w:hAnsi="Times New Roman" w:cs="Times New Roman"/>
          <w:i/>
          <w:iCs/>
          <w:sz w:val="24"/>
          <w:szCs w:val="24"/>
          <w:lang w:val="en-US"/>
        </w:rPr>
        <w:t xml:space="preserve"> des </w:t>
      </w:r>
      <w:proofErr w:type="spellStart"/>
      <w:r w:rsidRPr="00634B03">
        <w:rPr>
          <w:rFonts w:ascii="Times New Roman" w:hAnsi="Times New Roman" w:cs="Times New Roman"/>
          <w:i/>
          <w:iCs/>
          <w:sz w:val="24"/>
          <w:szCs w:val="24"/>
          <w:lang w:val="en-US"/>
        </w:rPr>
        <w:t>Lukasevangeliums</w:t>
      </w:r>
      <w:proofErr w:type="spellEnd"/>
      <w:r w:rsidRPr="00634B03">
        <w:rPr>
          <w:rFonts w:ascii="Times New Roman" w:hAnsi="Times New Roman" w:cs="Times New Roman"/>
          <w:sz w:val="24"/>
          <w:szCs w:val="24"/>
          <w:lang w:val="en-US"/>
        </w:rPr>
        <w:t xml:space="preserve"> ( </w:t>
      </w:r>
      <w:proofErr w:type="spellStart"/>
      <w:r w:rsidRPr="00634B03">
        <w:rPr>
          <w:rFonts w:ascii="Times New Roman" w:hAnsi="Times New Roman" w:cs="Times New Roman"/>
          <w:sz w:val="24"/>
          <w:szCs w:val="24"/>
          <w:lang w:val="en-US"/>
        </w:rPr>
        <w:t>Göttingen</w:t>
      </w:r>
      <w:proofErr w:type="spellEnd"/>
      <w:r w:rsidRPr="00634B03">
        <w:rPr>
          <w:rFonts w:ascii="Times New Roman" w:hAnsi="Times New Roman" w:cs="Times New Roman"/>
          <w:sz w:val="24"/>
          <w:szCs w:val="24"/>
          <w:lang w:val="en-US"/>
        </w:rPr>
        <w:t xml:space="preserve"> 1980 ).</w:t>
      </w:r>
    </w:p>
    <w:p w:rsidR="003D2C8B" w:rsidRPr="00634B03" w:rsidRDefault="003D2C8B" w:rsidP="003D2C8B">
      <w:pPr>
        <w:jc w:val="both"/>
        <w:rPr>
          <w:rFonts w:ascii="Times New Roman" w:hAnsi="Times New Roman" w:cs="Times New Roman"/>
          <w:sz w:val="24"/>
          <w:szCs w:val="24"/>
          <w:lang w:val="en-US"/>
        </w:rPr>
      </w:pPr>
      <w:r w:rsidRPr="00634B03">
        <w:rPr>
          <w:rFonts w:ascii="Times New Roman" w:hAnsi="Times New Roman" w:cs="Times New Roman"/>
          <w:sz w:val="24"/>
          <w:szCs w:val="24"/>
          <w:lang w:val="en-US"/>
        </w:rPr>
        <w:t xml:space="preserve">LUZ, U., . </w:t>
      </w:r>
      <w:r w:rsidRPr="00634B03">
        <w:rPr>
          <w:rFonts w:ascii="Times New Roman" w:hAnsi="Times New Roman" w:cs="Times New Roman"/>
          <w:i/>
          <w:iCs/>
          <w:sz w:val="24"/>
          <w:szCs w:val="24"/>
          <w:lang w:val="en-US"/>
        </w:rPr>
        <w:t xml:space="preserve">Das </w:t>
      </w:r>
      <w:proofErr w:type="spellStart"/>
      <w:r w:rsidRPr="00634B03">
        <w:rPr>
          <w:rFonts w:ascii="Times New Roman" w:hAnsi="Times New Roman" w:cs="Times New Roman"/>
          <w:i/>
          <w:iCs/>
          <w:sz w:val="24"/>
          <w:szCs w:val="24"/>
          <w:lang w:val="en-US"/>
        </w:rPr>
        <w:t>Evangelium</w:t>
      </w:r>
      <w:proofErr w:type="spellEnd"/>
      <w:r w:rsidRPr="00634B03">
        <w:rPr>
          <w:rFonts w:ascii="Times New Roman" w:hAnsi="Times New Roman" w:cs="Times New Roman"/>
          <w:i/>
          <w:iCs/>
          <w:sz w:val="24"/>
          <w:szCs w:val="24"/>
          <w:lang w:val="en-US"/>
        </w:rPr>
        <w:t xml:space="preserve"> </w:t>
      </w:r>
      <w:proofErr w:type="spellStart"/>
      <w:r w:rsidRPr="00634B03">
        <w:rPr>
          <w:rFonts w:ascii="Times New Roman" w:hAnsi="Times New Roman" w:cs="Times New Roman"/>
          <w:i/>
          <w:iCs/>
          <w:sz w:val="24"/>
          <w:szCs w:val="24"/>
          <w:lang w:val="en-US"/>
        </w:rPr>
        <w:t>nach</w:t>
      </w:r>
      <w:proofErr w:type="spellEnd"/>
      <w:r w:rsidRPr="00634B03">
        <w:rPr>
          <w:rFonts w:ascii="Times New Roman" w:hAnsi="Times New Roman" w:cs="Times New Roman"/>
          <w:i/>
          <w:iCs/>
          <w:sz w:val="24"/>
          <w:szCs w:val="24"/>
          <w:lang w:val="en-US"/>
        </w:rPr>
        <w:t xml:space="preserve"> </w:t>
      </w:r>
      <w:proofErr w:type="spellStart"/>
      <w:r w:rsidRPr="00634B03">
        <w:rPr>
          <w:rFonts w:ascii="Times New Roman" w:hAnsi="Times New Roman" w:cs="Times New Roman"/>
          <w:i/>
          <w:iCs/>
          <w:sz w:val="24"/>
          <w:szCs w:val="24"/>
          <w:lang w:val="en-US"/>
        </w:rPr>
        <w:t>Matthaus</w:t>
      </w:r>
      <w:proofErr w:type="spellEnd"/>
      <w:r w:rsidRPr="00634B03">
        <w:rPr>
          <w:rFonts w:ascii="Times New Roman" w:hAnsi="Times New Roman" w:cs="Times New Roman"/>
          <w:sz w:val="24"/>
          <w:szCs w:val="24"/>
          <w:lang w:val="en-US"/>
        </w:rPr>
        <w:t xml:space="preserve"> ( </w:t>
      </w:r>
      <w:proofErr w:type="spellStart"/>
      <w:r w:rsidRPr="00634B03">
        <w:rPr>
          <w:rFonts w:ascii="Times New Roman" w:hAnsi="Times New Roman" w:cs="Times New Roman"/>
          <w:sz w:val="24"/>
          <w:szCs w:val="24"/>
          <w:lang w:val="en-US"/>
        </w:rPr>
        <w:t>Neukirchen</w:t>
      </w:r>
      <w:proofErr w:type="spellEnd"/>
      <w:r w:rsidRPr="00634B03">
        <w:rPr>
          <w:rFonts w:ascii="Times New Roman" w:hAnsi="Times New Roman" w:cs="Times New Roman"/>
          <w:sz w:val="24"/>
          <w:szCs w:val="24"/>
          <w:lang w:val="en-US"/>
        </w:rPr>
        <w:t xml:space="preserve"> – </w:t>
      </w:r>
      <w:proofErr w:type="spellStart"/>
      <w:r w:rsidRPr="00634B03">
        <w:rPr>
          <w:rFonts w:ascii="Times New Roman" w:hAnsi="Times New Roman" w:cs="Times New Roman"/>
          <w:sz w:val="24"/>
          <w:szCs w:val="24"/>
          <w:lang w:val="en-US"/>
        </w:rPr>
        <w:t>Vluyn</w:t>
      </w:r>
      <w:proofErr w:type="spellEnd"/>
      <w:r w:rsidRPr="00634B03">
        <w:rPr>
          <w:rFonts w:ascii="Times New Roman" w:hAnsi="Times New Roman" w:cs="Times New Roman"/>
          <w:sz w:val="24"/>
          <w:szCs w:val="24"/>
          <w:lang w:val="en-US"/>
        </w:rPr>
        <w:t xml:space="preserve">, 1990 ) I - II.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ROSSÈ, G., </w:t>
      </w:r>
      <w:r w:rsidRPr="00634B03">
        <w:rPr>
          <w:rFonts w:ascii="Times New Roman" w:hAnsi="Times New Roman" w:cs="Times New Roman"/>
          <w:i/>
          <w:iCs/>
          <w:sz w:val="24"/>
          <w:szCs w:val="24"/>
        </w:rPr>
        <w:t>Il vangelo di Luca</w:t>
      </w:r>
      <w:r w:rsidRPr="00634B03">
        <w:rPr>
          <w:rFonts w:ascii="Times New Roman" w:hAnsi="Times New Roman" w:cs="Times New Roman"/>
          <w:sz w:val="24"/>
          <w:szCs w:val="24"/>
        </w:rPr>
        <w:t xml:space="preserve"> ( Roma 1992 ).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t xml:space="preserve">SCHLOSSER, J., </w:t>
      </w:r>
      <w:r w:rsidRPr="00634B03">
        <w:rPr>
          <w:rFonts w:ascii="Times New Roman" w:hAnsi="Times New Roman" w:cs="Times New Roman"/>
          <w:i/>
          <w:iCs/>
          <w:sz w:val="24"/>
          <w:szCs w:val="24"/>
        </w:rPr>
        <w:t xml:space="preserve">Le </w:t>
      </w:r>
      <w:proofErr w:type="spellStart"/>
      <w:r w:rsidRPr="00634B03">
        <w:rPr>
          <w:rFonts w:ascii="Times New Roman" w:hAnsi="Times New Roman" w:cs="Times New Roman"/>
          <w:i/>
          <w:iCs/>
          <w:sz w:val="24"/>
          <w:szCs w:val="24"/>
        </w:rPr>
        <w:t>regne</w:t>
      </w:r>
      <w:proofErr w:type="spellEnd"/>
      <w:r w:rsidRPr="00634B03">
        <w:rPr>
          <w:rFonts w:ascii="Times New Roman" w:hAnsi="Times New Roman" w:cs="Times New Roman"/>
          <w:i/>
          <w:iCs/>
          <w:sz w:val="24"/>
          <w:szCs w:val="24"/>
        </w:rPr>
        <w:t xml:space="preserve"> de </w:t>
      </w:r>
      <w:proofErr w:type="spellStart"/>
      <w:r w:rsidRPr="00634B03">
        <w:rPr>
          <w:rFonts w:ascii="Times New Roman" w:hAnsi="Times New Roman" w:cs="Times New Roman"/>
          <w:i/>
          <w:iCs/>
          <w:sz w:val="24"/>
          <w:szCs w:val="24"/>
        </w:rPr>
        <w:t>dieu</w:t>
      </w:r>
      <w:proofErr w:type="spellEnd"/>
      <w:r w:rsidRPr="00634B03">
        <w:rPr>
          <w:rFonts w:ascii="Times New Roman" w:hAnsi="Times New Roman" w:cs="Times New Roman"/>
          <w:i/>
          <w:iCs/>
          <w:sz w:val="24"/>
          <w:szCs w:val="24"/>
        </w:rPr>
        <w:t xml:space="preserve"> </w:t>
      </w:r>
      <w:proofErr w:type="spellStart"/>
      <w:r w:rsidRPr="00634B03">
        <w:rPr>
          <w:rFonts w:ascii="Times New Roman" w:hAnsi="Times New Roman" w:cs="Times New Roman"/>
          <w:i/>
          <w:iCs/>
          <w:sz w:val="24"/>
          <w:szCs w:val="24"/>
        </w:rPr>
        <w:t>dans</w:t>
      </w:r>
      <w:proofErr w:type="spellEnd"/>
      <w:r w:rsidRPr="00634B03">
        <w:rPr>
          <w:rFonts w:ascii="Times New Roman" w:hAnsi="Times New Roman" w:cs="Times New Roman"/>
          <w:i/>
          <w:iCs/>
          <w:sz w:val="24"/>
          <w:szCs w:val="24"/>
        </w:rPr>
        <w:t xml:space="preserve"> le </w:t>
      </w:r>
      <w:proofErr w:type="spellStart"/>
      <w:r w:rsidRPr="00634B03">
        <w:rPr>
          <w:rFonts w:ascii="Times New Roman" w:hAnsi="Times New Roman" w:cs="Times New Roman"/>
          <w:i/>
          <w:iCs/>
          <w:sz w:val="24"/>
          <w:szCs w:val="24"/>
        </w:rPr>
        <w:t>dits</w:t>
      </w:r>
      <w:proofErr w:type="spellEnd"/>
      <w:r w:rsidRPr="00634B03">
        <w:rPr>
          <w:rFonts w:ascii="Times New Roman" w:hAnsi="Times New Roman" w:cs="Times New Roman"/>
          <w:i/>
          <w:iCs/>
          <w:sz w:val="24"/>
          <w:szCs w:val="24"/>
        </w:rPr>
        <w:t xml:space="preserve"> de </w:t>
      </w:r>
      <w:proofErr w:type="spellStart"/>
      <w:r w:rsidRPr="00634B03">
        <w:rPr>
          <w:rFonts w:ascii="Times New Roman" w:hAnsi="Times New Roman" w:cs="Times New Roman"/>
          <w:i/>
          <w:iCs/>
          <w:sz w:val="24"/>
          <w:szCs w:val="24"/>
        </w:rPr>
        <w:t>jesus</w:t>
      </w:r>
      <w:proofErr w:type="spellEnd"/>
      <w:r w:rsidRPr="00634B03">
        <w:rPr>
          <w:rFonts w:ascii="Times New Roman" w:hAnsi="Times New Roman" w:cs="Times New Roman"/>
          <w:sz w:val="24"/>
          <w:szCs w:val="24"/>
        </w:rPr>
        <w:t xml:space="preserve"> ( Paris 1980 ).</w:t>
      </w:r>
    </w:p>
    <w:p w:rsidR="003D2C8B" w:rsidRPr="00634B03" w:rsidRDefault="003D2C8B" w:rsidP="003D2C8B">
      <w:pPr>
        <w:jc w:val="both"/>
        <w:rPr>
          <w:rFonts w:ascii="Times New Roman" w:hAnsi="Times New Roman" w:cs="Times New Roman"/>
          <w:sz w:val="24"/>
          <w:szCs w:val="24"/>
        </w:rPr>
      </w:pPr>
      <w:r w:rsidRPr="00634B03">
        <w:rPr>
          <w:rFonts w:ascii="Times New Roman" w:hAnsi="Times New Roman" w:cs="Times New Roman"/>
          <w:sz w:val="24"/>
          <w:szCs w:val="24"/>
        </w:rPr>
        <w:lastRenderedPageBreak/>
        <w:t>SCHRENK, G., “</w:t>
      </w:r>
      <w:r w:rsidRPr="00634B03">
        <w:rPr>
          <w:rFonts w:ascii="Times New Roman" w:hAnsi="Times New Roman" w:cs="Times New Roman"/>
          <w:sz w:val="24"/>
          <w:szCs w:val="24"/>
          <w:lang w:val="el-GR"/>
        </w:rPr>
        <w:t>δικαι</w:t>
      </w:r>
      <w:r w:rsidRPr="00634B03">
        <w:rPr>
          <w:rFonts w:ascii="Times New Roman" w:hAnsi="Times New Roman" w:cs="Times New Roman"/>
          <w:sz w:val="24"/>
          <w:szCs w:val="24"/>
        </w:rPr>
        <w:t>ό</w:t>
      </w:r>
      <w:r w:rsidRPr="00634B03">
        <w:rPr>
          <w:rFonts w:ascii="Times New Roman" w:hAnsi="Times New Roman" w:cs="Times New Roman"/>
          <w:sz w:val="24"/>
          <w:szCs w:val="24"/>
          <w:lang w:val="el-GR"/>
        </w:rPr>
        <w:t>ω</w:t>
      </w:r>
      <w:r w:rsidRPr="00634B03">
        <w:rPr>
          <w:rFonts w:ascii="Times New Roman" w:hAnsi="Times New Roman" w:cs="Times New Roman"/>
          <w:sz w:val="24"/>
          <w:szCs w:val="24"/>
        </w:rPr>
        <w:t>”, GLNT III.</w:t>
      </w:r>
    </w:p>
    <w:p w:rsidR="003D2C8B" w:rsidRPr="00634B03" w:rsidRDefault="003D2C8B" w:rsidP="003D2C8B">
      <w:pPr>
        <w:jc w:val="both"/>
        <w:rPr>
          <w:rFonts w:ascii="Times New Roman" w:hAnsi="Times New Roman" w:cs="Times New Roman"/>
          <w:sz w:val="24"/>
          <w:szCs w:val="24"/>
          <w:lang w:val="en-US"/>
        </w:rPr>
      </w:pPr>
      <w:r w:rsidRPr="00634B03">
        <w:rPr>
          <w:rFonts w:ascii="Times New Roman" w:hAnsi="Times New Roman" w:cs="Times New Roman"/>
          <w:sz w:val="24"/>
          <w:szCs w:val="24"/>
          <w:lang w:val="en-US"/>
        </w:rPr>
        <w:t>TANNEHILL R. C.</w:t>
      </w:r>
      <w:r w:rsidRPr="00634B03">
        <w:rPr>
          <w:rFonts w:ascii="Times New Roman" w:hAnsi="Times New Roman" w:cs="Times New Roman"/>
          <w:i/>
          <w:iCs/>
          <w:sz w:val="24"/>
          <w:szCs w:val="24"/>
          <w:lang w:val="en-US"/>
        </w:rPr>
        <w:t>, The narrative Unity of Luke – Acts</w:t>
      </w:r>
      <w:r w:rsidRPr="00634B03">
        <w:rPr>
          <w:rFonts w:ascii="Times New Roman" w:hAnsi="Times New Roman" w:cs="Times New Roman"/>
          <w:sz w:val="24"/>
          <w:szCs w:val="24"/>
          <w:lang w:val="en-US"/>
        </w:rPr>
        <w:t>,</w:t>
      </w:r>
      <w:r w:rsidRPr="00634B03">
        <w:rPr>
          <w:rFonts w:ascii="Times New Roman" w:hAnsi="Times New Roman" w:cs="Times New Roman"/>
          <w:i/>
          <w:iCs/>
          <w:sz w:val="24"/>
          <w:szCs w:val="24"/>
          <w:lang w:val="en-US"/>
        </w:rPr>
        <w:t xml:space="preserve"> </w:t>
      </w:r>
      <w:r w:rsidRPr="00634B03">
        <w:rPr>
          <w:rFonts w:ascii="Times New Roman" w:hAnsi="Times New Roman" w:cs="Times New Roman"/>
          <w:sz w:val="24"/>
          <w:szCs w:val="24"/>
          <w:lang w:val="en-US"/>
        </w:rPr>
        <w:t>( Philadelphia 1986 ) I - II.</w:t>
      </w:r>
    </w:p>
    <w:p w:rsidR="003D2C8B" w:rsidRPr="00634B03" w:rsidRDefault="003D2C8B" w:rsidP="003D2C8B">
      <w:pPr>
        <w:jc w:val="both"/>
        <w:rPr>
          <w:rFonts w:ascii="Times New Roman" w:hAnsi="Times New Roman" w:cs="Times New Roman"/>
          <w:sz w:val="24"/>
          <w:szCs w:val="24"/>
          <w:lang w:val="en-US"/>
        </w:rPr>
      </w:pPr>
    </w:p>
    <w:p w:rsidR="003D2C8B" w:rsidRPr="003D2C8B" w:rsidRDefault="003D2C8B">
      <w:pPr>
        <w:rPr>
          <w:lang w:val="en-US"/>
        </w:rPr>
      </w:pPr>
      <w:bookmarkStart w:id="23" w:name="_GoBack"/>
      <w:bookmarkEnd w:id="23"/>
    </w:p>
    <w:sectPr w:rsidR="003D2C8B" w:rsidRPr="003D2C8B">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0F8B" w:rsidRDefault="00FA0F8B" w:rsidP="003D2C8B">
      <w:pPr>
        <w:spacing w:after="0" w:line="240" w:lineRule="auto"/>
      </w:pPr>
      <w:r>
        <w:separator/>
      </w:r>
    </w:p>
  </w:endnote>
  <w:endnote w:type="continuationSeparator" w:id="0">
    <w:p w:rsidR="00FA0F8B" w:rsidRDefault="00FA0F8B" w:rsidP="003D2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0432469"/>
      <w:docPartObj>
        <w:docPartGallery w:val="Page Numbers (Bottom of Page)"/>
        <w:docPartUnique/>
      </w:docPartObj>
    </w:sdtPr>
    <w:sdtEndPr/>
    <w:sdtContent>
      <w:p w:rsidR="003D2C8B" w:rsidRDefault="003D2C8B">
        <w:pPr>
          <w:pStyle w:val="Pidipagina"/>
          <w:jc w:val="right"/>
        </w:pPr>
        <w:r>
          <w:fldChar w:fldCharType="begin"/>
        </w:r>
        <w:r>
          <w:instrText>PAGE   \* MERGEFORMAT</w:instrText>
        </w:r>
        <w:r>
          <w:fldChar w:fldCharType="separate"/>
        </w:r>
        <w:r w:rsidR="00477DE1">
          <w:rPr>
            <w:noProof/>
          </w:rPr>
          <w:t>24</w:t>
        </w:r>
        <w:r>
          <w:fldChar w:fldCharType="end"/>
        </w:r>
      </w:p>
    </w:sdtContent>
  </w:sdt>
  <w:p w:rsidR="003D2C8B" w:rsidRDefault="003D2C8B">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0F8B" w:rsidRDefault="00FA0F8B" w:rsidP="003D2C8B">
      <w:pPr>
        <w:spacing w:after="0" w:line="240" w:lineRule="auto"/>
      </w:pPr>
      <w:r>
        <w:separator/>
      </w:r>
    </w:p>
  </w:footnote>
  <w:footnote w:type="continuationSeparator" w:id="0">
    <w:p w:rsidR="00FA0F8B" w:rsidRDefault="00FA0F8B" w:rsidP="003D2C8B">
      <w:pPr>
        <w:spacing w:after="0" w:line="240" w:lineRule="auto"/>
      </w:pPr>
      <w:r>
        <w:continuationSeparator/>
      </w:r>
    </w:p>
  </w:footnote>
  <w:footnote w:id="1">
    <w:p w:rsidR="003D2C8B" w:rsidRDefault="003D2C8B" w:rsidP="003D2C8B">
      <w:pPr>
        <w:pStyle w:val="Testonotaapidipagina"/>
        <w:jc w:val="both"/>
      </w:pPr>
      <w:r w:rsidRPr="00183CBB">
        <w:rPr>
          <w:rStyle w:val="Rimandonotaapidipagina"/>
          <w:sz w:val="22"/>
        </w:rPr>
        <w:footnoteRef/>
      </w:r>
      <w:r w:rsidRPr="00183CBB">
        <w:rPr>
          <w:sz w:val="22"/>
        </w:rPr>
        <w:t xml:space="preserve"> </w:t>
      </w:r>
      <w:r w:rsidRPr="00183CBB">
        <w:rPr>
          <w:rFonts w:cs="Calibri"/>
          <w:sz w:val="22"/>
        </w:rPr>
        <w:t xml:space="preserve">Luca aggiunge probabilmente </w:t>
      </w:r>
      <w:r w:rsidRPr="00183CBB">
        <w:rPr>
          <w:rFonts w:cs="Calibri"/>
          <w:sz w:val="22"/>
          <w:lang w:val="el-GR" w:bidi="he-IL"/>
        </w:rPr>
        <w:t>ἱματίοις</w:t>
      </w:r>
      <w:r w:rsidRPr="00183CBB">
        <w:rPr>
          <w:rFonts w:cs="Calibri"/>
          <w:sz w:val="22"/>
          <w:lang w:bidi="he-IL"/>
        </w:rPr>
        <w:t xml:space="preserve"> (v. 25 ) alla sua fonte per migliorare la comprensione del suo lettore. Al v. 28 sopprime </w:t>
      </w:r>
      <w:r w:rsidRPr="00183CBB">
        <w:rPr>
          <w:rFonts w:cs="Calibri"/>
          <w:sz w:val="22"/>
          <w:lang w:val="el-GR" w:bidi="he-IL"/>
        </w:rPr>
        <w:t>Ἀμὴν</w:t>
      </w:r>
      <w:r w:rsidRPr="00183CBB">
        <w:rPr>
          <w:rFonts w:cs="Calibri"/>
          <w:sz w:val="22"/>
          <w:lang w:bidi="he-IL"/>
        </w:rPr>
        <w:t xml:space="preserve"> e semplifica la frase sostituendo </w:t>
      </w:r>
      <w:r w:rsidRPr="00183CBB">
        <w:rPr>
          <w:rFonts w:cs="Calibri"/>
          <w:sz w:val="22"/>
          <w:lang w:val="el-GR" w:bidi="he-IL"/>
        </w:rPr>
        <w:t>ἐγήγερται</w:t>
      </w:r>
      <w:r w:rsidRPr="00183CBB">
        <w:rPr>
          <w:rFonts w:cs="Calibri"/>
          <w:sz w:val="22"/>
          <w:lang w:bidi="he-IL"/>
        </w:rPr>
        <w:t xml:space="preserve"> con </w:t>
      </w:r>
      <w:r w:rsidRPr="00183CBB">
        <w:rPr>
          <w:rFonts w:cs="Calibri"/>
          <w:sz w:val="22"/>
          <w:lang w:val="el-GR" w:bidi="he-IL"/>
        </w:rPr>
        <w:t>ἐστιν</w:t>
      </w:r>
      <w:r w:rsidRPr="00183CBB">
        <w:rPr>
          <w:rFonts w:cs="Calibri"/>
          <w:sz w:val="22"/>
          <w:lang w:bidi="he-IL"/>
        </w:rPr>
        <w:t xml:space="preserve">. Nell’introduzione ( v. 24a par.)  Luca riprende il termine </w:t>
      </w:r>
      <w:r w:rsidRPr="00183CBB">
        <w:rPr>
          <w:rFonts w:cs="Calibri"/>
          <w:sz w:val="22"/>
          <w:lang w:val="el-GR" w:bidi="he-IL"/>
        </w:rPr>
        <w:t>τῶν ἀγγέλων Ἰωάννου</w:t>
      </w:r>
      <w:r w:rsidRPr="00183CBB">
        <w:rPr>
          <w:rFonts w:cs="Calibri"/>
          <w:sz w:val="22"/>
          <w:lang w:bidi="he-IL"/>
        </w:rPr>
        <w:t xml:space="preserve">, probabilmente per riconnettersi al v. 18 segnalando così un nuovo inizio. cfr. F. BOVON, </w:t>
      </w:r>
      <w:r w:rsidRPr="00183CBB">
        <w:rPr>
          <w:rFonts w:cs="Calibri"/>
          <w:i/>
          <w:sz w:val="22"/>
          <w:lang w:bidi="he-IL"/>
        </w:rPr>
        <w:t>Luca</w:t>
      </w:r>
      <w:r w:rsidRPr="00183CBB">
        <w:rPr>
          <w:rFonts w:cs="Calibri"/>
          <w:sz w:val="22"/>
          <w:lang w:bidi="he-IL"/>
        </w:rPr>
        <w:t xml:space="preserve"> ( Brescia 2005 ) I, 434. </w:t>
      </w:r>
      <w:proofErr w:type="spellStart"/>
      <w:r w:rsidRPr="00183CBB">
        <w:rPr>
          <w:rFonts w:cs="Calibri"/>
          <w:sz w:val="22"/>
          <w:lang w:bidi="he-IL"/>
        </w:rPr>
        <w:t>Orig</w:t>
      </w:r>
      <w:proofErr w:type="spellEnd"/>
      <w:r w:rsidRPr="00183CBB">
        <w:rPr>
          <w:rFonts w:cs="Calibri"/>
          <w:sz w:val="22"/>
          <w:lang w:bidi="he-IL"/>
        </w:rPr>
        <w:t xml:space="preserve">.: </w:t>
      </w:r>
      <w:proofErr w:type="spellStart"/>
      <w:r w:rsidRPr="00183CBB">
        <w:rPr>
          <w:rFonts w:cs="Calibri"/>
          <w:i/>
          <w:sz w:val="22"/>
          <w:lang w:bidi="he-IL"/>
        </w:rPr>
        <w:t>Das</w:t>
      </w:r>
      <w:proofErr w:type="spellEnd"/>
      <w:r w:rsidRPr="00183CBB">
        <w:rPr>
          <w:rFonts w:cs="Calibri"/>
          <w:i/>
          <w:sz w:val="22"/>
          <w:lang w:bidi="he-IL"/>
        </w:rPr>
        <w:t xml:space="preserve"> </w:t>
      </w:r>
      <w:proofErr w:type="spellStart"/>
      <w:r w:rsidRPr="00183CBB">
        <w:rPr>
          <w:rFonts w:cs="Calibri"/>
          <w:i/>
          <w:sz w:val="22"/>
          <w:lang w:bidi="he-IL"/>
        </w:rPr>
        <w:t>Evangelium</w:t>
      </w:r>
      <w:proofErr w:type="spellEnd"/>
      <w:r w:rsidRPr="00183CBB">
        <w:rPr>
          <w:rFonts w:cs="Calibri"/>
          <w:i/>
          <w:sz w:val="22"/>
          <w:lang w:bidi="he-IL"/>
        </w:rPr>
        <w:t xml:space="preserve"> </w:t>
      </w:r>
      <w:proofErr w:type="spellStart"/>
      <w:r w:rsidRPr="00183CBB">
        <w:rPr>
          <w:rFonts w:cs="Calibri"/>
          <w:i/>
          <w:sz w:val="22"/>
          <w:lang w:bidi="he-IL"/>
        </w:rPr>
        <w:t>nach</w:t>
      </w:r>
      <w:proofErr w:type="spellEnd"/>
      <w:r w:rsidRPr="00183CBB">
        <w:rPr>
          <w:rFonts w:cs="Calibri"/>
          <w:i/>
          <w:sz w:val="22"/>
          <w:lang w:bidi="he-IL"/>
        </w:rPr>
        <w:t xml:space="preserve"> Lukas</w:t>
      </w:r>
      <w:r w:rsidRPr="00183CBB">
        <w:rPr>
          <w:rFonts w:cs="Calibri"/>
          <w:sz w:val="22"/>
          <w:lang w:bidi="he-IL"/>
        </w:rPr>
        <w:t xml:space="preserve"> ( </w:t>
      </w:r>
      <w:proofErr w:type="spellStart"/>
      <w:r w:rsidRPr="00183CBB">
        <w:rPr>
          <w:rFonts w:cs="Calibri"/>
          <w:sz w:val="22"/>
          <w:lang w:bidi="he-IL"/>
        </w:rPr>
        <w:t>Neukirchen</w:t>
      </w:r>
      <w:proofErr w:type="spellEnd"/>
      <w:r w:rsidRPr="00183CBB">
        <w:rPr>
          <w:rFonts w:cs="Calibri"/>
          <w:sz w:val="22"/>
          <w:lang w:bidi="he-IL"/>
        </w:rPr>
        <w:t xml:space="preserve"> –</w:t>
      </w:r>
      <w:proofErr w:type="spellStart"/>
      <w:r w:rsidRPr="00183CBB">
        <w:rPr>
          <w:rFonts w:cs="Calibri"/>
          <w:sz w:val="22"/>
          <w:lang w:bidi="he-IL"/>
        </w:rPr>
        <w:t>Vluyn</w:t>
      </w:r>
      <w:proofErr w:type="spellEnd"/>
      <w:r w:rsidRPr="00183CBB">
        <w:rPr>
          <w:rFonts w:cs="Calibri"/>
          <w:sz w:val="22"/>
          <w:lang w:bidi="he-IL"/>
        </w:rPr>
        <w:t xml:space="preserve"> 1989 ).</w:t>
      </w:r>
    </w:p>
  </w:footnote>
  <w:footnote w:id="2">
    <w:p w:rsidR="003D2C8B" w:rsidRDefault="003D2C8B" w:rsidP="003D2C8B">
      <w:pPr>
        <w:pStyle w:val="Testonotaapidipagina"/>
        <w:jc w:val="both"/>
      </w:pPr>
      <w:r w:rsidRPr="00183CBB">
        <w:rPr>
          <w:rStyle w:val="Rimandonotaapidipagina"/>
          <w:sz w:val="22"/>
        </w:rPr>
        <w:footnoteRef/>
      </w:r>
      <w:r w:rsidRPr="00183CBB">
        <w:rPr>
          <w:sz w:val="22"/>
        </w:rPr>
        <w:t xml:space="preserve"> Vedremo che questi cambiamenti sono il frutto del lavoro redazionale di Luca. È invece molto difficile stabilire se la versione riportata da Matteo in 11, 12 – 14 corrisponde più fedelmente alla fonte Q, perché anche in Matteo gli interventi redazionali sono pesanti. In questo caso oltre a notare il carattere tradizionale dei detti di riportati in Mt 11, 13 / Lc 16, 16a e Mt 11, 12 / Lc 16, 16bc non è possibile proseguire a ricostruire nel dettaglio la fonte Q. Cfr. U. LUZ, </w:t>
      </w:r>
      <w:r w:rsidRPr="00183CBB">
        <w:rPr>
          <w:i/>
          <w:sz w:val="22"/>
        </w:rPr>
        <w:t>Matteo</w:t>
      </w:r>
      <w:r w:rsidRPr="00183CBB">
        <w:rPr>
          <w:sz w:val="22"/>
        </w:rPr>
        <w:t xml:space="preserve"> ( Brescia 2010 ), II 224 </w:t>
      </w:r>
      <w:proofErr w:type="spellStart"/>
      <w:r w:rsidRPr="00183CBB">
        <w:rPr>
          <w:sz w:val="22"/>
        </w:rPr>
        <w:t>orig</w:t>
      </w:r>
      <w:proofErr w:type="spellEnd"/>
      <w:r w:rsidRPr="00183CBB">
        <w:rPr>
          <w:sz w:val="22"/>
        </w:rPr>
        <w:t xml:space="preserve">. </w:t>
      </w:r>
      <w:proofErr w:type="spellStart"/>
      <w:r w:rsidRPr="00B817B2">
        <w:rPr>
          <w:i/>
          <w:sz w:val="22"/>
        </w:rPr>
        <w:t>Das</w:t>
      </w:r>
      <w:proofErr w:type="spellEnd"/>
      <w:r w:rsidRPr="00B817B2">
        <w:rPr>
          <w:i/>
          <w:sz w:val="22"/>
        </w:rPr>
        <w:t xml:space="preserve"> </w:t>
      </w:r>
      <w:proofErr w:type="spellStart"/>
      <w:r w:rsidRPr="00B817B2">
        <w:rPr>
          <w:i/>
          <w:sz w:val="22"/>
        </w:rPr>
        <w:t>Evangelium</w:t>
      </w:r>
      <w:proofErr w:type="spellEnd"/>
      <w:r w:rsidRPr="00B817B2">
        <w:rPr>
          <w:i/>
          <w:sz w:val="22"/>
        </w:rPr>
        <w:t xml:space="preserve"> </w:t>
      </w:r>
      <w:proofErr w:type="spellStart"/>
      <w:r w:rsidRPr="00B817B2">
        <w:rPr>
          <w:i/>
          <w:sz w:val="22"/>
        </w:rPr>
        <w:t>nach</w:t>
      </w:r>
      <w:proofErr w:type="spellEnd"/>
      <w:r w:rsidRPr="00B817B2">
        <w:rPr>
          <w:i/>
          <w:sz w:val="22"/>
        </w:rPr>
        <w:t xml:space="preserve"> </w:t>
      </w:r>
      <w:proofErr w:type="spellStart"/>
      <w:r w:rsidRPr="00B817B2">
        <w:rPr>
          <w:i/>
          <w:sz w:val="22"/>
        </w:rPr>
        <w:t>Matth</w:t>
      </w:r>
      <w:r w:rsidRPr="00B817B2">
        <w:rPr>
          <w:rFonts w:cs="Calibri"/>
          <w:i/>
          <w:sz w:val="22"/>
        </w:rPr>
        <w:t>a</w:t>
      </w:r>
      <w:r w:rsidRPr="00B817B2">
        <w:rPr>
          <w:i/>
          <w:sz w:val="22"/>
        </w:rPr>
        <w:t>us</w:t>
      </w:r>
      <w:proofErr w:type="spellEnd"/>
      <w:r w:rsidRPr="00B817B2">
        <w:rPr>
          <w:sz w:val="22"/>
        </w:rPr>
        <w:t xml:space="preserve"> ( </w:t>
      </w:r>
      <w:proofErr w:type="spellStart"/>
      <w:r w:rsidRPr="00B817B2">
        <w:rPr>
          <w:sz w:val="22"/>
        </w:rPr>
        <w:t>Neukirchen</w:t>
      </w:r>
      <w:proofErr w:type="spellEnd"/>
      <w:r w:rsidRPr="00B817B2">
        <w:rPr>
          <w:sz w:val="22"/>
        </w:rPr>
        <w:t xml:space="preserve"> – </w:t>
      </w:r>
      <w:proofErr w:type="spellStart"/>
      <w:r w:rsidRPr="00B817B2">
        <w:rPr>
          <w:sz w:val="22"/>
        </w:rPr>
        <w:t>Vluyn</w:t>
      </w:r>
      <w:proofErr w:type="spellEnd"/>
      <w:r w:rsidRPr="00B817B2">
        <w:rPr>
          <w:sz w:val="22"/>
        </w:rPr>
        <w:t xml:space="preserve">, 1990 ).  </w:t>
      </w:r>
    </w:p>
  </w:footnote>
  <w:footnote w:id="3">
    <w:p w:rsidR="003D2C8B" w:rsidRDefault="003D2C8B" w:rsidP="003D2C8B">
      <w:pPr>
        <w:pStyle w:val="Testonotaapidipagina"/>
        <w:jc w:val="both"/>
      </w:pPr>
      <w:r>
        <w:rPr>
          <w:rStyle w:val="Rimandonotaapidipagina"/>
        </w:rPr>
        <w:footnoteRef/>
      </w:r>
      <w:r>
        <w:t xml:space="preserve"> </w:t>
      </w:r>
      <w:r w:rsidRPr="00183CBB">
        <w:rPr>
          <w:sz w:val="22"/>
        </w:rPr>
        <w:t>Cfr.</w:t>
      </w:r>
      <w:r>
        <w:rPr>
          <w:sz w:val="22"/>
        </w:rPr>
        <w:t xml:space="preserve"> </w:t>
      </w:r>
      <w:r w:rsidRPr="00183CBB">
        <w:rPr>
          <w:sz w:val="22"/>
        </w:rPr>
        <w:t xml:space="preserve">J. JEREMIAS, </w:t>
      </w:r>
      <w:r w:rsidRPr="00183CBB">
        <w:rPr>
          <w:i/>
          <w:sz w:val="22"/>
        </w:rPr>
        <w:t>Le parabole di Gesù</w:t>
      </w:r>
      <w:r w:rsidRPr="00183CBB">
        <w:rPr>
          <w:sz w:val="22"/>
        </w:rPr>
        <w:t>, ( Brescia 1973 )</w:t>
      </w:r>
      <w:r>
        <w:rPr>
          <w:sz w:val="22"/>
        </w:rPr>
        <w:t xml:space="preserve">, </w:t>
      </w:r>
      <w:r w:rsidRPr="00183CBB">
        <w:rPr>
          <w:sz w:val="22"/>
        </w:rPr>
        <w:t xml:space="preserve">97. </w:t>
      </w:r>
      <w:proofErr w:type="spellStart"/>
      <w:r w:rsidRPr="00183CBB">
        <w:rPr>
          <w:sz w:val="22"/>
        </w:rPr>
        <w:t>Orig</w:t>
      </w:r>
      <w:proofErr w:type="spellEnd"/>
      <w:r w:rsidRPr="00183CBB">
        <w:rPr>
          <w:sz w:val="22"/>
        </w:rPr>
        <w:t xml:space="preserve">. </w:t>
      </w:r>
      <w:r w:rsidRPr="00183CBB">
        <w:rPr>
          <w:i/>
          <w:sz w:val="22"/>
        </w:rPr>
        <w:t xml:space="preserve">Die </w:t>
      </w:r>
      <w:proofErr w:type="spellStart"/>
      <w:r w:rsidRPr="00183CBB">
        <w:rPr>
          <w:i/>
          <w:sz w:val="22"/>
        </w:rPr>
        <w:t>Gleichnisse</w:t>
      </w:r>
      <w:proofErr w:type="spellEnd"/>
      <w:r w:rsidRPr="00183CBB">
        <w:rPr>
          <w:i/>
          <w:sz w:val="22"/>
        </w:rPr>
        <w:t xml:space="preserve"> </w:t>
      </w:r>
      <w:proofErr w:type="spellStart"/>
      <w:r w:rsidRPr="00183CBB">
        <w:rPr>
          <w:i/>
          <w:sz w:val="22"/>
        </w:rPr>
        <w:t>Jesu</w:t>
      </w:r>
      <w:proofErr w:type="spellEnd"/>
      <w:r w:rsidRPr="00183CBB">
        <w:rPr>
          <w:sz w:val="22"/>
        </w:rPr>
        <w:t xml:space="preserve"> ( G</w:t>
      </w:r>
      <w:r w:rsidRPr="00183CBB">
        <w:rPr>
          <w:rFonts w:cs="Calibri"/>
          <w:sz w:val="22"/>
        </w:rPr>
        <w:t>ö</w:t>
      </w:r>
      <w:r w:rsidRPr="00183CBB">
        <w:rPr>
          <w:sz w:val="22"/>
        </w:rPr>
        <w:t>ttingen 1952 ).</w:t>
      </w:r>
    </w:p>
  </w:footnote>
  <w:footnote w:id="4">
    <w:p w:rsidR="003D2C8B" w:rsidRDefault="003D2C8B" w:rsidP="003D2C8B">
      <w:pPr>
        <w:pStyle w:val="Testonotaapidipagina"/>
        <w:jc w:val="both"/>
      </w:pPr>
      <w:r>
        <w:rPr>
          <w:rStyle w:val="Rimandonotaapidipagina"/>
        </w:rPr>
        <w:footnoteRef/>
      </w:r>
      <w:r>
        <w:t xml:space="preserve"> </w:t>
      </w:r>
      <w:r w:rsidRPr="0002773B">
        <w:rPr>
          <w:sz w:val="22"/>
        </w:rPr>
        <w:t>Per approfondire il carattere redazionale in Matteo, che non è possibile mostrare qui</w:t>
      </w:r>
      <w:r>
        <w:rPr>
          <w:sz w:val="22"/>
        </w:rPr>
        <w:t xml:space="preserve"> per ragioni di spazio</w:t>
      </w:r>
      <w:r w:rsidRPr="0002773B">
        <w:rPr>
          <w:sz w:val="22"/>
        </w:rPr>
        <w:t xml:space="preserve">, cfr. J. </w:t>
      </w:r>
      <w:r w:rsidRPr="0002773B">
        <w:rPr>
          <w:rFonts w:cs="Calibri"/>
          <w:sz w:val="24"/>
          <w:szCs w:val="24"/>
        </w:rPr>
        <w:t xml:space="preserve">SCHLOSSER, </w:t>
      </w:r>
      <w:r w:rsidRPr="0002773B">
        <w:rPr>
          <w:rFonts w:cs="Calibri"/>
          <w:i/>
          <w:sz w:val="24"/>
          <w:szCs w:val="24"/>
        </w:rPr>
        <w:t xml:space="preserve">Le </w:t>
      </w:r>
      <w:proofErr w:type="spellStart"/>
      <w:r w:rsidRPr="0002773B">
        <w:rPr>
          <w:rFonts w:cs="Calibri"/>
          <w:i/>
          <w:sz w:val="24"/>
          <w:szCs w:val="24"/>
        </w:rPr>
        <w:t>regne</w:t>
      </w:r>
      <w:proofErr w:type="spellEnd"/>
      <w:r w:rsidRPr="0002773B">
        <w:rPr>
          <w:rFonts w:cs="Calibri"/>
          <w:i/>
          <w:sz w:val="24"/>
          <w:szCs w:val="24"/>
        </w:rPr>
        <w:t xml:space="preserve"> de </w:t>
      </w:r>
      <w:proofErr w:type="spellStart"/>
      <w:r w:rsidRPr="0002773B">
        <w:rPr>
          <w:rFonts w:cs="Calibri"/>
          <w:i/>
          <w:sz w:val="24"/>
          <w:szCs w:val="24"/>
        </w:rPr>
        <w:t>dieu</w:t>
      </w:r>
      <w:proofErr w:type="spellEnd"/>
      <w:r w:rsidRPr="0002773B">
        <w:rPr>
          <w:rFonts w:cs="Calibri"/>
          <w:i/>
          <w:sz w:val="24"/>
          <w:szCs w:val="24"/>
        </w:rPr>
        <w:t xml:space="preserve"> </w:t>
      </w:r>
      <w:proofErr w:type="spellStart"/>
      <w:r w:rsidRPr="0002773B">
        <w:rPr>
          <w:rFonts w:cs="Calibri"/>
          <w:i/>
          <w:sz w:val="24"/>
          <w:szCs w:val="24"/>
        </w:rPr>
        <w:t>dans</w:t>
      </w:r>
      <w:proofErr w:type="spellEnd"/>
      <w:r w:rsidRPr="0002773B">
        <w:rPr>
          <w:rFonts w:cs="Calibri"/>
          <w:i/>
          <w:sz w:val="24"/>
          <w:szCs w:val="24"/>
        </w:rPr>
        <w:t xml:space="preserve"> le </w:t>
      </w:r>
      <w:proofErr w:type="spellStart"/>
      <w:r w:rsidRPr="0002773B">
        <w:rPr>
          <w:rFonts w:cs="Calibri"/>
          <w:i/>
          <w:sz w:val="24"/>
          <w:szCs w:val="24"/>
        </w:rPr>
        <w:t>dits</w:t>
      </w:r>
      <w:proofErr w:type="spellEnd"/>
      <w:r w:rsidRPr="0002773B">
        <w:rPr>
          <w:rFonts w:cs="Calibri"/>
          <w:i/>
          <w:sz w:val="24"/>
          <w:szCs w:val="24"/>
        </w:rPr>
        <w:t xml:space="preserve"> de </w:t>
      </w:r>
      <w:proofErr w:type="spellStart"/>
      <w:r w:rsidRPr="0002773B">
        <w:rPr>
          <w:rFonts w:cs="Calibri"/>
          <w:i/>
          <w:sz w:val="24"/>
          <w:szCs w:val="24"/>
        </w:rPr>
        <w:t>jesus</w:t>
      </w:r>
      <w:proofErr w:type="spellEnd"/>
      <w:r w:rsidRPr="0002773B">
        <w:rPr>
          <w:rFonts w:cs="Calibri"/>
          <w:sz w:val="24"/>
          <w:szCs w:val="24"/>
        </w:rPr>
        <w:t xml:space="preserve"> ( Paris 1980 ), 456.</w:t>
      </w:r>
    </w:p>
  </w:footnote>
  <w:footnote w:id="5">
    <w:p w:rsidR="003D2C8B" w:rsidRDefault="003D2C8B" w:rsidP="003D2C8B">
      <w:pPr>
        <w:pStyle w:val="Testonotaapidipagina"/>
        <w:jc w:val="both"/>
      </w:pPr>
      <w:r>
        <w:rPr>
          <w:rStyle w:val="Rimandonotaapidipagina"/>
        </w:rPr>
        <w:footnoteRef/>
      </w:r>
      <w:r>
        <w:t xml:space="preserve"> </w:t>
      </w:r>
      <w:r w:rsidRPr="00183CBB">
        <w:rPr>
          <w:sz w:val="22"/>
        </w:rPr>
        <w:t>I</w:t>
      </w:r>
      <w:r>
        <w:rPr>
          <w:sz w:val="22"/>
        </w:rPr>
        <w:t>n Luca l’accusa viene sviluppata</w:t>
      </w:r>
      <w:r w:rsidRPr="00183CBB">
        <w:rPr>
          <w:sz w:val="22"/>
        </w:rPr>
        <w:t xml:space="preserve"> nei </w:t>
      </w:r>
      <w:proofErr w:type="spellStart"/>
      <w:r w:rsidRPr="00183CBB">
        <w:rPr>
          <w:sz w:val="22"/>
        </w:rPr>
        <w:t>vv</w:t>
      </w:r>
      <w:proofErr w:type="spellEnd"/>
      <w:r w:rsidRPr="00183CBB">
        <w:rPr>
          <w:sz w:val="22"/>
        </w:rPr>
        <w:t>. 31 – 35. Che tale accusa sia rivolta ai capi, ossia farisei e dottori della legge, lo si capisce però solo alla luce dei</w:t>
      </w:r>
      <w:r>
        <w:rPr>
          <w:sz w:val="22"/>
        </w:rPr>
        <w:t xml:space="preserve">  </w:t>
      </w:r>
      <w:proofErr w:type="spellStart"/>
      <w:r w:rsidRPr="00183CBB">
        <w:rPr>
          <w:sz w:val="22"/>
        </w:rPr>
        <w:t>vv</w:t>
      </w:r>
      <w:proofErr w:type="spellEnd"/>
      <w:r w:rsidRPr="00183CBB">
        <w:rPr>
          <w:sz w:val="22"/>
        </w:rPr>
        <w:t xml:space="preserve">. 29 – 30, come vedremo. </w:t>
      </w:r>
    </w:p>
  </w:footnote>
  <w:footnote w:id="6">
    <w:p w:rsidR="003D2C8B" w:rsidRDefault="003D2C8B" w:rsidP="003D2C8B">
      <w:pPr>
        <w:pStyle w:val="Testonotaapidipagina"/>
        <w:jc w:val="both"/>
      </w:pPr>
      <w:r>
        <w:rPr>
          <w:rStyle w:val="Rimandonotaapidipagina"/>
        </w:rPr>
        <w:footnoteRef/>
      </w:r>
      <w:r>
        <w:rPr>
          <w:rFonts w:cs="Calibri"/>
          <w:sz w:val="22"/>
          <w:szCs w:val="24"/>
        </w:rPr>
        <w:t xml:space="preserve"> Tale confronto </w:t>
      </w:r>
      <w:r w:rsidRPr="002654AA">
        <w:rPr>
          <w:rFonts w:cs="Calibri"/>
          <w:sz w:val="22"/>
          <w:szCs w:val="24"/>
        </w:rPr>
        <w:t>( in questo caso con pubblicani e prostitute ) fa parte del repertorio retorico profetico di accusa per spingere l’interlocutore alla comprensione dell’irragio</w:t>
      </w:r>
      <w:r>
        <w:rPr>
          <w:rFonts w:cs="Calibri"/>
          <w:sz w:val="22"/>
          <w:szCs w:val="24"/>
        </w:rPr>
        <w:t>nevolezza del suo comportamento. Si legga ad esempio</w:t>
      </w:r>
      <w:r w:rsidRPr="000F673D">
        <w:rPr>
          <w:rFonts w:cs="Calibri"/>
          <w:sz w:val="22"/>
          <w:szCs w:val="24"/>
        </w:rPr>
        <w:t xml:space="preserve"> </w:t>
      </w:r>
      <w:proofErr w:type="spellStart"/>
      <w:r w:rsidRPr="000F673D">
        <w:rPr>
          <w:rFonts w:cs="Calibri"/>
          <w:sz w:val="22"/>
          <w:szCs w:val="24"/>
        </w:rPr>
        <w:t>Is</w:t>
      </w:r>
      <w:proofErr w:type="spellEnd"/>
      <w:r w:rsidRPr="002654AA">
        <w:rPr>
          <w:rFonts w:cs="Calibri"/>
          <w:sz w:val="22"/>
          <w:szCs w:val="24"/>
        </w:rPr>
        <w:t xml:space="preserve"> 1, 3, dove è presente un confronto odioso di na</w:t>
      </w:r>
      <w:r>
        <w:rPr>
          <w:rFonts w:cs="Calibri"/>
          <w:sz w:val="22"/>
          <w:szCs w:val="24"/>
        </w:rPr>
        <w:t xml:space="preserve">tura parabolica con gli animali o anche </w:t>
      </w:r>
      <w:proofErr w:type="spellStart"/>
      <w:r>
        <w:rPr>
          <w:rFonts w:cs="Calibri"/>
          <w:sz w:val="22"/>
          <w:szCs w:val="24"/>
        </w:rPr>
        <w:t>Ger</w:t>
      </w:r>
      <w:proofErr w:type="spellEnd"/>
      <w:r>
        <w:rPr>
          <w:rFonts w:cs="Calibri"/>
          <w:sz w:val="22"/>
          <w:szCs w:val="24"/>
        </w:rPr>
        <w:t xml:space="preserve"> 2, 11; </w:t>
      </w:r>
      <w:proofErr w:type="spellStart"/>
      <w:r>
        <w:rPr>
          <w:rFonts w:cs="Calibri"/>
          <w:sz w:val="22"/>
          <w:szCs w:val="24"/>
        </w:rPr>
        <w:t>Ger</w:t>
      </w:r>
      <w:proofErr w:type="spellEnd"/>
      <w:r>
        <w:rPr>
          <w:rFonts w:cs="Calibri"/>
          <w:sz w:val="22"/>
          <w:szCs w:val="24"/>
        </w:rPr>
        <w:t xml:space="preserve"> 3, 6 – 10 o ancora </w:t>
      </w:r>
      <w:proofErr w:type="spellStart"/>
      <w:r>
        <w:rPr>
          <w:rFonts w:cs="Calibri"/>
          <w:sz w:val="22"/>
          <w:szCs w:val="24"/>
        </w:rPr>
        <w:t>Ez</w:t>
      </w:r>
      <w:proofErr w:type="spellEnd"/>
      <w:r>
        <w:rPr>
          <w:rFonts w:cs="Calibri"/>
          <w:sz w:val="22"/>
          <w:szCs w:val="24"/>
        </w:rPr>
        <w:t xml:space="preserve"> 33, 34. 47 (qui le prostitute sono più intelligenti di Gerusalemme, ed essa ha fatto peggio di Samaria e di Sodoma )</w:t>
      </w:r>
      <w:r w:rsidRPr="002654AA">
        <w:rPr>
          <w:rFonts w:cs="Calibri"/>
          <w:sz w:val="22"/>
          <w:szCs w:val="24"/>
        </w:rPr>
        <w:t xml:space="preserve">. </w:t>
      </w:r>
      <w:r>
        <w:rPr>
          <w:rFonts w:cs="Calibri"/>
          <w:sz w:val="22"/>
          <w:szCs w:val="24"/>
        </w:rPr>
        <w:t xml:space="preserve">Per il NT si veda </w:t>
      </w:r>
      <w:r w:rsidRPr="002654AA">
        <w:rPr>
          <w:rFonts w:cs="Calibri"/>
          <w:sz w:val="22"/>
          <w:szCs w:val="24"/>
        </w:rPr>
        <w:t>anche</w:t>
      </w:r>
      <w:r>
        <w:rPr>
          <w:rFonts w:cs="Calibri"/>
          <w:sz w:val="22"/>
          <w:szCs w:val="24"/>
        </w:rPr>
        <w:t xml:space="preserve"> Mt 11, 20 -24 o Lc 7, 45 – 50</w:t>
      </w:r>
      <w:r w:rsidRPr="002654AA">
        <w:rPr>
          <w:rFonts w:cs="Calibri"/>
          <w:sz w:val="22"/>
          <w:szCs w:val="24"/>
        </w:rPr>
        <w:t>.</w:t>
      </w:r>
    </w:p>
  </w:footnote>
  <w:footnote w:id="7">
    <w:p w:rsidR="003D2C8B" w:rsidRPr="00B817B2" w:rsidRDefault="003D2C8B" w:rsidP="003D2C8B">
      <w:pPr>
        <w:pStyle w:val="Testonotaapidipagina"/>
        <w:jc w:val="both"/>
        <w:rPr>
          <w:lang w:val="en-US"/>
        </w:rPr>
      </w:pPr>
      <w:r w:rsidRPr="00EB005A">
        <w:rPr>
          <w:rStyle w:val="Rimandonotaapidipagina"/>
          <w:sz w:val="22"/>
        </w:rPr>
        <w:footnoteRef/>
      </w:r>
      <w:r w:rsidRPr="00EB005A">
        <w:rPr>
          <w:sz w:val="22"/>
        </w:rPr>
        <w:t xml:space="preserve"> L’inserimento di questo termine in diversi testimoni della versione </w:t>
      </w:r>
      <w:proofErr w:type="spellStart"/>
      <w:r w:rsidRPr="00EB005A">
        <w:rPr>
          <w:sz w:val="22"/>
        </w:rPr>
        <w:t>matteana</w:t>
      </w:r>
      <w:proofErr w:type="spellEnd"/>
      <w:r w:rsidRPr="00EB005A">
        <w:rPr>
          <w:sz w:val="22"/>
        </w:rPr>
        <w:t xml:space="preserve"> si può spiegare come armonizzazione a luogo parallelo. </w:t>
      </w:r>
      <w:proofErr w:type="spellStart"/>
      <w:r w:rsidRPr="00EB005A">
        <w:rPr>
          <w:sz w:val="22"/>
          <w:lang w:val="en-US"/>
        </w:rPr>
        <w:t>Cfr</w:t>
      </w:r>
      <w:proofErr w:type="spellEnd"/>
      <w:r w:rsidRPr="00EB005A">
        <w:rPr>
          <w:sz w:val="22"/>
          <w:lang w:val="en-US"/>
        </w:rPr>
        <w:t xml:space="preserve">. B. M. METZGER, </w:t>
      </w:r>
      <w:r w:rsidRPr="00EB005A">
        <w:rPr>
          <w:i/>
          <w:sz w:val="22"/>
          <w:lang w:val="en-US"/>
        </w:rPr>
        <w:t xml:space="preserve">A Textual Commentary on the </w:t>
      </w:r>
      <w:proofErr w:type="spellStart"/>
      <w:r w:rsidRPr="00EB005A">
        <w:rPr>
          <w:i/>
          <w:sz w:val="22"/>
          <w:lang w:val="en-US"/>
        </w:rPr>
        <w:t>greek</w:t>
      </w:r>
      <w:proofErr w:type="spellEnd"/>
      <w:r w:rsidRPr="00EB005A">
        <w:rPr>
          <w:i/>
          <w:sz w:val="22"/>
          <w:lang w:val="en-US"/>
        </w:rPr>
        <w:t xml:space="preserve"> new Testament </w:t>
      </w:r>
      <w:r w:rsidRPr="00EB005A">
        <w:rPr>
          <w:sz w:val="22"/>
          <w:lang w:val="en-US"/>
        </w:rPr>
        <w:t>( Stuttgart 1994 )</w:t>
      </w:r>
      <w:r w:rsidRPr="00EB005A">
        <w:rPr>
          <w:i/>
          <w:sz w:val="22"/>
          <w:lang w:val="en-US"/>
        </w:rPr>
        <w:t>,</w:t>
      </w:r>
      <w:r w:rsidRPr="00EB005A">
        <w:rPr>
          <w:sz w:val="22"/>
          <w:lang w:val="en-US"/>
        </w:rPr>
        <w:t xml:space="preserve"> 48.</w:t>
      </w:r>
      <w:r>
        <w:rPr>
          <w:i/>
          <w:lang w:val="en-US"/>
        </w:rPr>
        <w:t xml:space="preserve"> </w:t>
      </w:r>
    </w:p>
  </w:footnote>
  <w:footnote w:id="8">
    <w:p w:rsidR="003D2C8B" w:rsidRPr="00B817B2" w:rsidRDefault="003D2C8B" w:rsidP="003D2C8B">
      <w:pPr>
        <w:pStyle w:val="Testonotaapidipagina"/>
        <w:jc w:val="both"/>
        <w:rPr>
          <w:lang w:val="en-US"/>
        </w:rPr>
      </w:pPr>
      <w:r>
        <w:rPr>
          <w:rStyle w:val="Rimandonotaapidipagina"/>
        </w:rPr>
        <w:footnoteRef/>
      </w:r>
      <w:r w:rsidRPr="008B7113">
        <w:rPr>
          <w:lang w:val="en-US"/>
        </w:rPr>
        <w:t xml:space="preserve"> </w:t>
      </w:r>
      <w:proofErr w:type="spellStart"/>
      <w:r>
        <w:rPr>
          <w:lang w:val="en-US"/>
        </w:rPr>
        <w:t>Cfr</w:t>
      </w:r>
      <w:proofErr w:type="spellEnd"/>
      <w:r>
        <w:rPr>
          <w:lang w:val="en-US"/>
        </w:rPr>
        <w:t xml:space="preserve">. </w:t>
      </w:r>
      <w:r w:rsidRPr="00EB005A">
        <w:rPr>
          <w:rFonts w:cs="Calibri"/>
          <w:sz w:val="22"/>
          <w:lang w:val="en-US"/>
        </w:rPr>
        <w:t xml:space="preserve">J. </w:t>
      </w:r>
      <w:r w:rsidRPr="00EB005A">
        <w:rPr>
          <w:rFonts w:cs="Calibri"/>
          <w:color w:val="000000"/>
          <w:sz w:val="22"/>
          <w:lang w:val="en-US"/>
        </w:rPr>
        <w:t>JEREMIAS</w:t>
      </w:r>
      <w:r>
        <w:rPr>
          <w:rFonts w:ascii="Times New Roman" w:hAnsi="Times New Roman"/>
          <w:color w:val="000000"/>
          <w:sz w:val="24"/>
          <w:szCs w:val="24"/>
          <w:lang w:val="en-US"/>
        </w:rPr>
        <w:t>,</w:t>
      </w:r>
      <w:r w:rsidRPr="008B7113">
        <w:rPr>
          <w:rFonts w:ascii="Times New Roman" w:hAnsi="Times New Roman"/>
          <w:color w:val="000000"/>
          <w:sz w:val="24"/>
          <w:szCs w:val="24"/>
          <w:lang w:val="en-US"/>
        </w:rPr>
        <w:t xml:space="preserve"> </w:t>
      </w:r>
      <w:r>
        <w:rPr>
          <w:rFonts w:ascii="Times New Roman" w:hAnsi="Times New Roman"/>
          <w:i/>
          <w:color w:val="000000"/>
          <w:sz w:val="24"/>
          <w:szCs w:val="24"/>
          <w:lang w:val="en-US"/>
        </w:rPr>
        <w:t xml:space="preserve">die </w:t>
      </w:r>
      <w:proofErr w:type="spellStart"/>
      <w:r>
        <w:rPr>
          <w:rFonts w:ascii="Times New Roman" w:hAnsi="Times New Roman"/>
          <w:i/>
          <w:color w:val="000000"/>
          <w:sz w:val="24"/>
          <w:szCs w:val="24"/>
          <w:lang w:val="en-US"/>
        </w:rPr>
        <w:t>Sprache</w:t>
      </w:r>
      <w:proofErr w:type="spellEnd"/>
      <w:r>
        <w:rPr>
          <w:rFonts w:ascii="Times New Roman" w:hAnsi="Times New Roman"/>
          <w:i/>
          <w:color w:val="000000"/>
          <w:sz w:val="24"/>
          <w:szCs w:val="24"/>
          <w:lang w:val="en-US"/>
        </w:rPr>
        <w:t xml:space="preserve"> des </w:t>
      </w:r>
      <w:proofErr w:type="spellStart"/>
      <w:r>
        <w:rPr>
          <w:rFonts w:ascii="Times New Roman" w:hAnsi="Times New Roman"/>
          <w:i/>
          <w:color w:val="000000"/>
          <w:sz w:val="24"/>
          <w:szCs w:val="24"/>
          <w:lang w:val="en-US"/>
        </w:rPr>
        <w:t>L</w:t>
      </w:r>
      <w:r w:rsidRPr="00EB005A">
        <w:rPr>
          <w:rFonts w:ascii="Times New Roman" w:hAnsi="Times New Roman"/>
          <w:i/>
          <w:color w:val="000000"/>
          <w:sz w:val="24"/>
          <w:szCs w:val="24"/>
          <w:lang w:val="en-US"/>
        </w:rPr>
        <w:t>ukasevangeliums</w:t>
      </w:r>
      <w:proofErr w:type="spellEnd"/>
      <w:r w:rsidRPr="008B7113">
        <w:rPr>
          <w:rFonts w:ascii="Times New Roman" w:hAnsi="Times New Roman"/>
          <w:color w:val="000000"/>
          <w:sz w:val="24"/>
          <w:szCs w:val="24"/>
          <w:lang w:val="en-US"/>
        </w:rPr>
        <w:t xml:space="preserve"> </w:t>
      </w:r>
      <w:r>
        <w:rPr>
          <w:rFonts w:ascii="Times New Roman" w:hAnsi="Times New Roman"/>
          <w:color w:val="000000"/>
          <w:sz w:val="24"/>
          <w:szCs w:val="24"/>
          <w:lang w:val="en-US"/>
        </w:rPr>
        <w:t xml:space="preserve">( </w:t>
      </w:r>
      <w:proofErr w:type="spellStart"/>
      <w:r>
        <w:rPr>
          <w:rFonts w:ascii="Times New Roman" w:hAnsi="Times New Roman"/>
          <w:color w:val="000000"/>
          <w:sz w:val="24"/>
          <w:szCs w:val="24"/>
          <w:lang w:val="en-US"/>
        </w:rPr>
        <w:t>Göttingen</w:t>
      </w:r>
      <w:proofErr w:type="spellEnd"/>
      <w:r>
        <w:rPr>
          <w:rFonts w:ascii="Times New Roman" w:hAnsi="Times New Roman"/>
          <w:color w:val="000000"/>
          <w:sz w:val="24"/>
          <w:szCs w:val="24"/>
          <w:lang w:val="en-US"/>
        </w:rPr>
        <w:t xml:space="preserve"> 1980 ), </w:t>
      </w:r>
      <w:r w:rsidRPr="008B7113">
        <w:rPr>
          <w:rFonts w:ascii="Times New Roman" w:hAnsi="Times New Roman"/>
          <w:color w:val="000000"/>
          <w:sz w:val="24"/>
          <w:szCs w:val="24"/>
          <w:lang w:val="en-US"/>
        </w:rPr>
        <w:t>165.</w:t>
      </w:r>
    </w:p>
  </w:footnote>
  <w:footnote w:id="9">
    <w:p w:rsidR="003D2C8B" w:rsidRPr="00B817B2" w:rsidRDefault="003D2C8B" w:rsidP="003D2C8B">
      <w:pPr>
        <w:pStyle w:val="Testonotaapidipagina"/>
        <w:jc w:val="both"/>
        <w:rPr>
          <w:lang w:val="en-US"/>
        </w:rPr>
      </w:pPr>
      <w:r>
        <w:rPr>
          <w:rStyle w:val="Rimandonotaapidipagina"/>
        </w:rPr>
        <w:footnoteRef/>
      </w:r>
      <w:r w:rsidRPr="004F4D37">
        <w:rPr>
          <w:lang w:val="en-US"/>
        </w:rPr>
        <w:t xml:space="preserve"> </w:t>
      </w:r>
      <w:proofErr w:type="spellStart"/>
      <w:r w:rsidRPr="004F4D37">
        <w:rPr>
          <w:rFonts w:cs="Calibri"/>
          <w:color w:val="000000"/>
          <w:sz w:val="22"/>
          <w:szCs w:val="22"/>
          <w:lang w:val="en-US"/>
        </w:rPr>
        <w:t>cfr.</w:t>
      </w:r>
      <w:r>
        <w:rPr>
          <w:rFonts w:cs="Calibri"/>
          <w:color w:val="000000"/>
          <w:sz w:val="22"/>
          <w:szCs w:val="22"/>
          <w:lang w:val="en-US"/>
        </w:rPr>
        <w:t>G</w:t>
      </w:r>
      <w:proofErr w:type="spellEnd"/>
      <w:r>
        <w:rPr>
          <w:rFonts w:cs="Calibri"/>
          <w:color w:val="000000"/>
          <w:sz w:val="22"/>
          <w:szCs w:val="22"/>
          <w:lang w:val="en-US"/>
        </w:rPr>
        <w:t>.</w:t>
      </w:r>
      <w:r w:rsidRPr="004F4D37">
        <w:rPr>
          <w:rFonts w:cs="Calibri"/>
          <w:color w:val="000000"/>
          <w:sz w:val="22"/>
          <w:szCs w:val="22"/>
          <w:lang w:val="en-US"/>
        </w:rPr>
        <w:t xml:space="preserve"> SCHRENK, “</w:t>
      </w:r>
      <w:r w:rsidRPr="004B4B4E">
        <w:rPr>
          <w:rFonts w:ascii="Times New Roman" w:hAnsi="Times New Roman"/>
          <w:bCs/>
          <w:sz w:val="24"/>
          <w:lang w:val="el-GR" w:bidi="he-IL"/>
        </w:rPr>
        <w:t>δικαιόω</w:t>
      </w:r>
      <w:r w:rsidRPr="004F4D37">
        <w:rPr>
          <w:rFonts w:cs="Calibri"/>
          <w:color w:val="000000"/>
          <w:sz w:val="22"/>
          <w:szCs w:val="22"/>
          <w:lang w:val="en-US"/>
        </w:rPr>
        <w:t>”</w:t>
      </w:r>
      <w:r>
        <w:rPr>
          <w:rFonts w:cs="Calibri"/>
          <w:color w:val="000000"/>
          <w:sz w:val="22"/>
          <w:szCs w:val="22"/>
          <w:lang w:val="en-US"/>
        </w:rPr>
        <w:t>,</w:t>
      </w:r>
      <w:r w:rsidRPr="004F4D37">
        <w:rPr>
          <w:rFonts w:cs="Calibri"/>
          <w:color w:val="000000"/>
          <w:sz w:val="22"/>
          <w:szCs w:val="22"/>
          <w:lang w:val="en-US"/>
        </w:rPr>
        <w:t xml:space="preserve"> GLNT III, </w:t>
      </w:r>
      <w:r>
        <w:rPr>
          <w:rFonts w:cs="Calibri"/>
          <w:color w:val="000000"/>
          <w:sz w:val="22"/>
          <w:szCs w:val="22"/>
          <w:lang w:val="en-US"/>
        </w:rPr>
        <w:t>1290.</w:t>
      </w:r>
    </w:p>
  </w:footnote>
  <w:footnote w:id="10">
    <w:p w:rsidR="003D2C8B" w:rsidRDefault="003D2C8B" w:rsidP="003D2C8B">
      <w:pPr>
        <w:pStyle w:val="Testonotaapidipagina"/>
        <w:jc w:val="both"/>
      </w:pPr>
      <w:r>
        <w:rPr>
          <w:rStyle w:val="Rimandonotaapidipagina"/>
        </w:rPr>
        <w:footnoteRef/>
      </w:r>
      <w:r>
        <w:t xml:space="preserve"> </w:t>
      </w:r>
      <w:r w:rsidRPr="00BF7B2D">
        <w:rPr>
          <w:rFonts w:cs="Calibri"/>
          <w:color w:val="000000"/>
          <w:sz w:val="22"/>
          <w:szCs w:val="24"/>
        </w:rPr>
        <w:t xml:space="preserve">cfr. P. BOVATI, </w:t>
      </w:r>
      <w:r w:rsidRPr="00BF7B2D">
        <w:rPr>
          <w:rFonts w:cs="Calibri"/>
          <w:i/>
          <w:color w:val="000000"/>
          <w:sz w:val="22"/>
          <w:szCs w:val="24"/>
        </w:rPr>
        <w:t>Ristabilire la giustizia</w:t>
      </w:r>
      <w:r w:rsidRPr="00BF7B2D">
        <w:rPr>
          <w:rFonts w:cs="Calibri"/>
          <w:color w:val="000000"/>
          <w:sz w:val="22"/>
          <w:szCs w:val="24"/>
        </w:rPr>
        <w:t xml:space="preserve"> </w:t>
      </w:r>
      <w:proofErr w:type="spellStart"/>
      <w:r w:rsidRPr="00BF7B2D">
        <w:rPr>
          <w:rFonts w:cs="Calibri"/>
          <w:color w:val="000000"/>
          <w:sz w:val="22"/>
          <w:szCs w:val="24"/>
        </w:rPr>
        <w:t>AnBib</w:t>
      </w:r>
      <w:proofErr w:type="spellEnd"/>
      <w:r w:rsidRPr="00BF7B2D">
        <w:rPr>
          <w:rFonts w:cs="Calibri"/>
          <w:color w:val="000000"/>
          <w:sz w:val="22"/>
          <w:szCs w:val="24"/>
        </w:rPr>
        <w:t xml:space="preserve"> </w:t>
      </w:r>
      <w:r w:rsidRPr="00761071">
        <w:rPr>
          <w:rFonts w:cs="Calibri"/>
          <w:color w:val="000000"/>
          <w:sz w:val="22"/>
          <w:szCs w:val="24"/>
        </w:rPr>
        <w:t>2005,</w:t>
      </w:r>
      <w:r w:rsidRPr="00BF7B2D">
        <w:rPr>
          <w:rFonts w:cs="Calibri"/>
          <w:color w:val="000000"/>
          <w:sz w:val="22"/>
          <w:szCs w:val="24"/>
        </w:rPr>
        <w:t xml:space="preserve"> 89.</w:t>
      </w:r>
    </w:p>
  </w:footnote>
  <w:footnote w:id="11">
    <w:p w:rsidR="003D2C8B" w:rsidRPr="00B817B2" w:rsidRDefault="003D2C8B" w:rsidP="003D2C8B">
      <w:pPr>
        <w:pStyle w:val="Testonotaapidipagina"/>
        <w:rPr>
          <w:lang w:val="en-US"/>
        </w:rPr>
      </w:pPr>
      <w:r>
        <w:rPr>
          <w:rStyle w:val="Rimandonotaapidipagina"/>
        </w:rPr>
        <w:footnoteRef/>
      </w:r>
      <w:r>
        <w:rPr>
          <w:rFonts w:ascii="Times New Roman" w:hAnsi="Times New Roman"/>
          <w:color w:val="000000"/>
          <w:sz w:val="24"/>
          <w:szCs w:val="24"/>
          <w:lang w:val="en-US"/>
        </w:rPr>
        <w:t xml:space="preserve"> </w:t>
      </w:r>
      <w:r w:rsidRPr="008473CC">
        <w:rPr>
          <w:rFonts w:cs="Calibri"/>
          <w:color w:val="000000"/>
          <w:sz w:val="22"/>
          <w:szCs w:val="24"/>
          <w:lang w:val="en-US"/>
        </w:rPr>
        <w:t xml:space="preserve">D. L. BOCK, </w:t>
      </w:r>
      <w:r w:rsidRPr="008473CC">
        <w:rPr>
          <w:rFonts w:cs="Calibri"/>
          <w:i/>
          <w:color w:val="000000"/>
          <w:sz w:val="22"/>
          <w:szCs w:val="24"/>
          <w:lang w:val="en-US"/>
        </w:rPr>
        <w:t>Luke,</w:t>
      </w:r>
      <w:r w:rsidRPr="008473CC">
        <w:rPr>
          <w:rFonts w:cs="Calibri"/>
          <w:color w:val="000000"/>
          <w:sz w:val="22"/>
          <w:szCs w:val="24"/>
          <w:lang w:val="en-US"/>
        </w:rPr>
        <w:t xml:space="preserve"> ( Grand Rapids NIV Application Commentary, 1996 ), 210s</w:t>
      </w:r>
      <w:r w:rsidRPr="008B7113">
        <w:rPr>
          <w:rFonts w:ascii="Times New Roman" w:hAnsi="Times New Roman"/>
          <w:color w:val="000000"/>
          <w:sz w:val="24"/>
          <w:szCs w:val="24"/>
          <w:lang w:val="en-US"/>
        </w:rPr>
        <w:t>.</w:t>
      </w:r>
    </w:p>
  </w:footnote>
  <w:footnote w:id="12">
    <w:p w:rsidR="003D2C8B" w:rsidRPr="00634B03" w:rsidRDefault="003D2C8B" w:rsidP="003D2C8B">
      <w:pPr>
        <w:pStyle w:val="Testonotaapidipagina"/>
      </w:pPr>
      <w:r>
        <w:rPr>
          <w:rStyle w:val="Rimandonotaapidipagina"/>
        </w:rPr>
        <w:footnoteRef/>
      </w:r>
      <w:r w:rsidRPr="00634B03">
        <w:t xml:space="preserve"> </w:t>
      </w:r>
      <w:r w:rsidRPr="00634B03">
        <w:rPr>
          <w:sz w:val="22"/>
          <w:szCs w:val="22"/>
        </w:rPr>
        <w:t>F. BOVON,</w:t>
      </w:r>
      <w:r w:rsidRPr="00634B03">
        <w:rPr>
          <w:sz w:val="24"/>
        </w:rPr>
        <w:t xml:space="preserve"> </w:t>
      </w:r>
      <w:r w:rsidRPr="00634B03">
        <w:rPr>
          <w:sz w:val="22"/>
        </w:rPr>
        <w:t>443.</w:t>
      </w:r>
    </w:p>
  </w:footnote>
  <w:footnote w:id="13">
    <w:p w:rsidR="003D2C8B" w:rsidRDefault="003D2C8B" w:rsidP="003D2C8B">
      <w:pPr>
        <w:pStyle w:val="Testonotaapidipagina"/>
      </w:pPr>
      <w:r>
        <w:rPr>
          <w:rStyle w:val="Rimandonotaapidipagina"/>
        </w:rPr>
        <w:footnoteRef/>
      </w:r>
      <w:r w:rsidRPr="00CB3382">
        <w:t xml:space="preserve"> </w:t>
      </w:r>
      <w:r w:rsidRPr="00CB3382">
        <w:rPr>
          <w:rFonts w:cs="Calibri"/>
          <w:color w:val="000000"/>
          <w:sz w:val="22"/>
          <w:szCs w:val="24"/>
        </w:rPr>
        <w:t>cfr. G. ROSSÈ, 271</w:t>
      </w:r>
      <w:r>
        <w:rPr>
          <w:rFonts w:cs="Calibri"/>
          <w:color w:val="000000"/>
          <w:sz w:val="22"/>
          <w:szCs w:val="24"/>
        </w:rPr>
        <w:t>.</w:t>
      </w:r>
    </w:p>
  </w:footnote>
  <w:footnote w:id="14">
    <w:p w:rsidR="003D2C8B" w:rsidRDefault="003D2C8B" w:rsidP="003D2C8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jc w:val="both"/>
        <w:rPr>
          <w:rFonts w:ascii="Times New Roman" w:hAnsi="Times New Roman"/>
          <w:color w:val="000000"/>
          <w:sz w:val="24"/>
          <w:szCs w:val="24"/>
        </w:rPr>
      </w:pPr>
      <w:r>
        <w:rPr>
          <w:rStyle w:val="Rimandonotaapidipagina"/>
        </w:rPr>
        <w:footnoteRef/>
      </w:r>
      <w:r w:rsidRPr="00CB3382">
        <w:t xml:space="preserve"> </w:t>
      </w:r>
      <w:r w:rsidRPr="00CB3382">
        <w:rPr>
          <w:rFonts w:cs="Calibri"/>
          <w:color w:val="000000"/>
        </w:rPr>
        <w:t xml:space="preserve">È possibile che Luca abbia rielaborato tale </w:t>
      </w:r>
      <w:proofErr w:type="spellStart"/>
      <w:r w:rsidRPr="00CB3382">
        <w:rPr>
          <w:rFonts w:cs="Calibri"/>
          <w:color w:val="000000"/>
        </w:rPr>
        <w:t>loghion</w:t>
      </w:r>
      <w:proofErr w:type="spellEnd"/>
      <w:r w:rsidRPr="00CB3382">
        <w:rPr>
          <w:rFonts w:cs="Calibri"/>
          <w:color w:val="000000"/>
        </w:rPr>
        <w:t xml:space="preserve"> di accusa e ricollocato precedentemente in un contesto dove l’accusa contro i farisei e i capi del popolo era meno esplicita, perché il suo interesse narrativo è di rivolgersi ad un lettore che proviene dalla gentilità, che probabilmente non ha mai avuto a che fare con i farisei o i dottori della legge o i sacerdoti del tempio.</w:t>
      </w:r>
      <w:r>
        <w:rPr>
          <w:rFonts w:ascii="Times New Roman" w:hAnsi="Times New Roman"/>
          <w:color w:val="000000"/>
          <w:sz w:val="24"/>
          <w:szCs w:val="24"/>
        </w:rPr>
        <w:t xml:space="preserve"> </w:t>
      </w:r>
    </w:p>
    <w:p w:rsidR="003D2C8B" w:rsidRDefault="003D2C8B" w:rsidP="003D2C8B">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jc w:val="both"/>
      </w:pPr>
    </w:p>
  </w:footnote>
  <w:footnote w:id="15">
    <w:p w:rsidR="003D2C8B" w:rsidRDefault="003D2C8B" w:rsidP="003D2C8B">
      <w:pPr>
        <w:pStyle w:val="Testonotaapidipagina"/>
      </w:pPr>
      <w:r>
        <w:rPr>
          <w:rStyle w:val="Rimandonotaapidipagina"/>
        </w:rPr>
        <w:footnoteRef/>
      </w:r>
      <w:r>
        <w:t xml:space="preserve"> </w:t>
      </w:r>
      <w:r w:rsidRPr="00EA1EF0">
        <w:rPr>
          <w:rFonts w:cs="Calibri"/>
          <w:color w:val="000000"/>
          <w:sz w:val="22"/>
          <w:szCs w:val="24"/>
        </w:rPr>
        <w:t xml:space="preserve">cfr. F. BOVON, 462 e G. ROSSÈ, 278. Green cerca di risolvere il problema ammettendo che la donna era stata già perdonata precedentemente, e che ora si tratta solo di manifestare tale perdono dinanzi alla comunità. Ma rimane comunque la contraddittorietà nell’affermazione di Gesù. J. B. GREEN, </w:t>
      </w:r>
      <w:r w:rsidRPr="00EA1EF0">
        <w:rPr>
          <w:rFonts w:cs="Calibri"/>
          <w:i/>
          <w:color w:val="000000"/>
          <w:sz w:val="22"/>
          <w:szCs w:val="24"/>
        </w:rPr>
        <w:t>The Gospel of Luke</w:t>
      </w:r>
      <w:r w:rsidRPr="00EA1EF0">
        <w:rPr>
          <w:rFonts w:cs="Calibri"/>
          <w:color w:val="000000"/>
          <w:sz w:val="22"/>
          <w:szCs w:val="24"/>
        </w:rPr>
        <w:t xml:space="preserve"> ( </w:t>
      </w:r>
      <w:proofErr w:type="spellStart"/>
      <w:r w:rsidRPr="00EA1EF0">
        <w:rPr>
          <w:rFonts w:cs="Calibri"/>
          <w:color w:val="000000"/>
          <w:sz w:val="22"/>
          <w:szCs w:val="24"/>
        </w:rPr>
        <w:t>Grand</w:t>
      </w:r>
      <w:proofErr w:type="spellEnd"/>
      <w:r w:rsidRPr="00EA1EF0">
        <w:rPr>
          <w:rFonts w:cs="Calibri"/>
          <w:color w:val="000000"/>
          <w:sz w:val="22"/>
          <w:szCs w:val="24"/>
        </w:rPr>
        <w:t xml:space="preserve"> Rapids 1997 ), 313.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C8B" w:rsidRDefault="003D2C8B">
    <w:pPr>
      <w:pStyle w:val="Intestazione"/>
    </w:pPr>
    <w:r>
      <w:t>AA 2012 /’13 – Terza parte Dispense Corso Vangeli sinottici – prof. d. Davide Arcangeli</w:t>
    </w:r>
  </w:p>
  <w:p w:rsidR="003D2C8B" w:rsidRDefault="003D2C8B">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C8B"/>
    <w:rsid w:val="00007584"/>
    <w:rsid w:val="003D2C8B"/>
    <w:rsid w:val="00477DE1"/>
    <w:rsid w:val="00667884"/>
    <w:rsid w:val="006D4028"/>
    <w:rsid w:val="007E027D"/>
    <w:rsid w:val="00FA0F8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D2C8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3D2C8B"/>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3D2C8B"/>
    <w:rPr>
      <w:sz w:val="20"/>
      <w:szCs w:val="20"/>
    </w:rPr>
  </w:style>
  <w:style w:type="character" w:styleId="Rimandonotaapidipagina">
    <w:name w:val="footnote reference"/>
    <w:basedOn w:val="Carpredefinitoparagrafo"/>
    <w:uiPriority w:val="99"/>
    <w:semiHidden/>
    <w:unhideWhenUsed/>
    <w:rsid w:val="003D2C8B"/>
    <w:rPr>
      <w:vertAlign w:val="superscript"/>
    </w:rPr>
  </w:style>
  <w:style w:type="paragraph" w:styleId="Intestazione">
    <w:name w:val="header"/>
    <w:basedOn w:val="Normale"/>
    <w:link w:val="IntestazioneCarattere"/>
    <w:uiPriority w:val="99"/>
    <w:unhideWhenUsed/>
    <w:rsid w:val="003D2C8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D2C8B"/>
  </w:style>
  <w:style w:type="paragraph" w:styleId="Pidipagina">
    <w:name w:val="footer"/>
    <w:basedOn w:val="Normale"/>
    <w:link w:val="PidipaginaCarattere"/>
    <w:uiPriority w:val="99"/>
    <w:unhideWhenUsed/>
    <w:rsid w:val="003D2C8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D2C8B"/>
  </w:style>
  <w:style w:type="paragraph" w:styleId="Testofumetto">
    <w:name w:val="Balloon Text"/>
    <w:basedOn w:val="Normale"/>
    <w:link w:val="TestofumettoCarattere"/>
    <w:uiPriority w:val="99"/>
    <w:semiHidden/>
    <w:unhideWhenUsed/>
    <w:rsid w:val="003D2C8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D2C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D2C8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3D2C8B"/>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3D2C8B"/>
    <w:rPr>
      <w:sz w:val="20"/>
      <w:szCs w:val="20"/>
    </w:rPr>
  </w:style>
  <w:style w:type="character" w:styleId="Rimandonotaapidipagina">
    <w:name w:val="footnote reference"/>
    <w:basedOn w:val="Carpredefinitoparagrafo"/>
    <w:uiPriority w:val="99"/>
    <w:semiHidden/>
    <w:unhideWhenUsed/>
    <w:rsid w:val="003D2C8B"/>
    <w:rPr>
      <w:vertAlign w:val="superscript"/>
    </w:rPr>
  </w:style>
  <w:style w:type="paragraph" w:styleId="Intestazione">
    <w:name w:val="header"/>
    <w:basedOn w:val="Normale"/>
    <w:link w:val="IntestazioneCarattere"/>
    <w:uiPriority w:val="99"/>
    <w:unhideWhenUsed/>
    <w:rsid w:val="003D2C8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D2C8B"/>
  </w:style>
  <w:style w:type="paragraph" w:styleId="Pidipagina">
    <w:name w:val="footer"/>
    <w:basedOn w:val="Normale"/>
    <w:link w:val="PidipaginaCarattere"/>
    <w:uiPriority w:val="99"/>
    <w:unhideWhenUsed/>
    <w:rsid w:val="003D2C8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D2C8B"/>
  </w:style>
  <w:style w:type="paragraph" w:styleId="Testofumetto">
    <w:name w:val="Balloon Text"/>
    <w:basedOn w:val="Normale"/>
    <w:link w:val="TestofumettoCarattere"/>
    <w:uiPriority w:val="99"/>
    <w:semiHidden/>
    <w:unhideWhenUsed/>
    <w:rsid w:val="003D2C8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D2C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B51CD8-63C9-40DB-BD31-159CE50F8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24</Pages>
  <Words>10025</Words>
  <Characters>57146</Characters>
  <Application>Microsoft Office Word</Application>
  <DocSecurity>0</DocSecurity>
  <Lines>476</Lines>
  <Paragraphs>134</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67037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2014-03-11T11:12:00Z</cp:lastPrinted>
  <dcterms:created xsi:type="dcterms:W3CDTF">2013-05-14T14:04:00Z</dcterms:created>
  <dcterms:modified xsi:type="dcterms:W3CDTF">2014-03-11T22:14:00Z</dcterms:modified>
</cp:coreProperties>
</file>